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F7AD6" w14:textId="77777777" w:rsidR="00572AD5" w:rsidRDefault="00000000">
      <w:pPr>
        <w:jc w:val="center"/>
        <w:rPr>
          <w:rFonts w:ascii="Arial" w:eastAsia="Arial" w:hAnsi="Arial" w:cs="Arial"/>
          <w:b/>
          <w:sz w:val="22"/>
          <w:szCs w:val="22"/>
        </w:rPr>
      </w:pPr>
      <w:r>
        <w:rPr>
          <w:rFonts w:ascii="Arial" w:eastAsia="Arial" w:hAnsi="Arial" w:cs="Arial"/>
          <w:b/>
          <w:sz w:val="22"/>
          <w:szCs w:val="22"/>
        </w:rPr>
        <w:t xml:space="preserve">ESTUDIO Y ANALISIS ECONOMICO DEL SECTOR  </w:t>
      </w:r>
    </w:p>
    <w:p w14:paraId="6FC8314A" w14:textId="77777777" w:rsidR="00572AD5" w:rsidRDefault="00572AD5">
      <w:pPr>
        <w:jc w:val="center"/>
        <w:rPr>
          <w:rFonts w:ascii="Arial" w:eastAsia="Arial" w:hAnsi="Arial" w:cs="Arial"/>
          <w:b/>
          <w:sz w:val="22"/>
          <w:szCs w:val="22"/>
        </w:rPr>
      </w:pPr>
    </w:p>
    <w:p w14:paraId="6E17E402" w14:textId="77777777" w:rsidR="00572AD5" w:rsidRDefault="00000000">
      <w:pPr>
        <w:jc w:val="center"/>
        <w:rPr>
          <w:rFonts w:ascii="Arial" w:eastAsia="Arial" w:hAnsi="Arial" w:cs="Arial"/>
          <w:sz w:val="22"/>
          <w:szCs w:val="22"/>
        </w:rPr>
      </w:pPr>
      <w:r>
        <w:rPr>
          <w:rFonts w:ascii="Arial" w:eastAsia="Arial" w:hAnsi="Arial" w:cs="Arial"/>
          <w:b/>
          <w:sz w:val="22"/>
          <w:szCs w:val="22"/>
        </w:rPr>
        <w:t>(CAPITULO VI - Artículo 2.2.1.1.1.6.1. Del Decreto 1082 de 2015)</w:t>
      </w:r>
    </w:p>
    <w:p w14:paraId="259311F2" w14:textId="77777777" w:rsidR="00572AD5" w:rsidRDefault="00572AD5">
      <w:pPr>
        <w:jc w:val="both"/>
        <w:rPr>
          <w:rFonts w:ascii="Arial" w:eastAsia="Arial" w:hAnsi="Arial" w:cs="Arial"/>
          <w:sz w:val="22"/>
          <w:szCs w:val="22"/>
        </w:rPr>
      </w:pPr>
    </w:p>
    <w:p w14:paraId="16243613" w14:textId="77777777" w:rsidR="00572AD5" w:rsidRDefault="00000000">
      <w:pPr>
        <w:ind w:right="79"/>
        <w:jc w:val="both"/>
        <w:rPr>
          <w:rFonts w:ascii="Arial" w:eastAsia="Arial" w:hAnsi="Arial" w:cs="Arial"/>
          <w:color w:val="000000"/>
          <w:sz w:val="22"/>
          <w:szCs w:val="22"/>
        </w:rPr>
      </w:pPr>
      <w:r>
        <w:rPr>
          <w:rFonts w:ascii="Arial" w:eastAsia="Arial" w:hAnsi="Arial" w:cs="Arial"/>
          <w:color w:val="000000"/>
          <w:sz w:val="22"/>
          <w:szCs w:val="22"/>
        </w:rPr>
        <w:t>En cumplimiento del Art. 2.2.1.1.1.6.1 del Decreto 1082 de 2015, que establece el “</w:t>
      </w:r>
      <w:r>
        <w:rPr>
          <w:rFonts w:ascii="Arial" w:eastAsia="Arial" w:hAnsi="Arial" w:cs="Arial"/>
          <w:i/>
          <w:color w:val="000000"/>
          <w:sz w:val="22"/>
          <w:szCs w:val="22"/>
        </w:rPr>
        <w:t>deber de análisis de la Entidades Estatales. La Entidad Estatal debe hacer durante la etapa de planeación el análisis necesario para conocer el sector relativo al objeto del Proceso de Contratación desde la perspectiva legal, comercial, financiera, organizaciones, técnica y de Análisis de Riesgo. La Entidad debe dejar constancia de este análisis en los Documentos del Proceso</w:t>
      </w:r>
      <w:r>
        <w:rPr>
          <w:rFonts w:ascii="Arial" w:eastAsia="Arial" w:hAnsi="Arial" w:cs="Arial"/>
          <w:color w:val="000000"/>
          <w:sz w:val="22"/>
          <w:szCs w:val="22"/>
        </w:rPr>
        <w:t>”, acorde con lo establecido en la “</w:t>
      </w:r>
      <w:r>
        <w:rPr>
          <w:rFonts w:ascii="Arial" w:eastAsia="Arial" w:hAnsi="Arial" w:cs="Arial"/>
          <w:i/>
          <w:color w:val="000000"/>
          <w:sz w:val="22"/>
          <w:szCs w:val="22"/>
        </w:rPr>
        <w:t>Guía para la Elaboración del Estudio de Sector</w:t>
      </w:r>
      <w:r>
        <w:rPr>
          <w:rFonts w:ascii="Arial" w:eastAsia="Arial" w:hAnsi="Arial" w:cs="Arial"/>
          <w:color w:val="000000"/>
          <w:sz w:val="22"/>
          <w:szCs w:val="22"/>
        </w:rPr>
        <w:t>” expedida por Colombia Compra Eficiente, el SENA efectúo análisis del sector teniendo en cuenta que el alcance del estudio de sector debe ser proporcionado al valor del proceso de contratación, la naturaleza del objeto a contratar, el tipo de contrato y a los Riesgos identificados para el Proceso de Contratación.</w:t>
      </w:r>
    </w:p>
    <w:p w14:paraId="063B437C" w14:textId="77777777" w:rsidR="00572AD5" w:rsidRDefault="00572AD5">
      <w:pPr>
        <w:ind w:right="79"/>
        <w:jc w:val="both"/>
        <w:rPr>
          <w:rFonts w:ascii="Arial" w:eastAsia="Arial" w:hAnsi="Arial" w:cs="Arial"/>
          <w:color w:val="000000"/>
          <w:sz w:val="22"/>
          <w:szCs w:val="22"/>
        </w:rPr>
      </w:pPr>
    </w:p>
    <w:p w14:paraId="2A989196"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En cumplimiento de lo anterior la entidad estatal debe revisar los aspectos generales del mercado del bien, obra o servicio que sean relevantes en el Proceso de Contratación. Para el efecto, Colombia Compra Eficiente recomienda analizar, entre otros, los siguientes contextos, los cuales pueden tener un alcance local, regional, nacional o internacional, dependiendo del Proceso de Contratación. </w:t>
      </w:r>
    </w:p>
    <w:p w14:paraId="3A160168" w14:textId="77777777" w:rsidR="00572AD5" w:rsidRDefault="00572AD5">
      <w:pPr>
        <w:jc w:val="both"/>
        <w:rPr>
          <w:rFonts w:ascii="Arial" w:eastAsia="Arial" w:hAnsi="Arial" w:cs="Arial"/>
          <w:color w:val="000000"/>
          <w:sz w:val="22"/>
          <w:szCs w:val="22"/>
        </w:rPr>
      </w:pPr>
    </w:p>
    <w:p w14:paraId="7940CB6B"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De conformidad con el Artículo 2.2.1.1.1.6.1 del Decreto 1082 de 2015, el Centro Agropecuario La Granja Sena - Espinal presenta a continuación el estudio del sector desde la perspectiva legal, comercial, financiera, organizacional, técnica y de análisis de riesgos, relativo al objeto de la presente contratación:</w:t>
      </w:r>
    </w:p>
    <w:p w14:paraId="45C8C381" w14:textId="77777777" w:rsidR="00572AD5" w:rsidRDefault="00572AD5">
      <w:pPr>
        <w:jc w:val="both"/>
        <w:rPr>
          <w:rFonts w:ascii="Arial" w:eastAsia="Arial" w:hAnsi="Arial" w:cs="Arial"/>
          <w:color w:val="000000"/>
          <w:sz w:val="22"/>
          <w:szCs w:val="22"/>
        </w:rPr>
      </w:pPr>
    </w:p>
    <w:p w14:paraId="4200FA9D" w14:textId="635AFFF3" w:rsidR="00572AD5" w:rsidRDefault="00000000" w:rsidP="005D74DD">
      <w:pPr>
        <w:spacing w:after="120"/>
        <w:jc w:val="both"/>
        <w:rPr>
          <w:rFonts w:ascii="Arial" w:eastAsia="Arial" w:hAnsi="Arial" w:cs="Arial"/>
          <w:b/>
        </w:rPr>
      </w:pPr>
      <w:r>
        <w:rPr>
          <w:rFonts w:ascii="Arial" w:eastAsia="Arial" w:hAnsi="Arial" w:cs="Arial"/>
          <w:sz w:val="22"/>
          <w:szCs w:val="22"/>
        </w:rPr>
        <w:t>Objeto</w:t>
      </w:r>
      <w:r>
        <w:rPr>
          <w:rFonts w:ascii="Arial" w:eastAsia="Arial" w:hAnsi="Arial" w:cs="Arial"/>
          <w:b/>
          <w:sz w:val="22"/>
          <w:szCs w:val="22"/>
        </w:rPr>
        <w:t>:</w:t>
      </w:r>
      <w:r>
        <w:rPr>
          <w:rFonts w:ascii="Arial" w:eastAsia="Arial" w:hAnsi="Arial" w:cs="Arial"/>
          <w:sz w:val="22"/>
          <w:szCs w:val="22"/>
        </w:rPr>
        <w:t xml:space="preserve"> </w:t>
      </w:r>
      <w:bookmarkStart w:id="0" w:name="_Hlk203643377"/>
      <w:r>
        <w:rPr>
          <w:rFonts w:ascii="Arial" w:eastAsia="Arial" w:hAnsi="Arial" w:cs="Arial"/>
          <w:b/>
          <w:sz w:val="22"/>
          <w:szCs w:val="22"/>
        </w:rPr>
        <w:t>“</w:t>
      </w:r>
      <w:r w:rsidR="005D74DD" w:rsidRPr="005D74DD">
        <w:rPr>
          <w:rFonts w:ascii="Arial" w:eastAsia="Arial" w:hAnsi="Arial" w:cs="Arial"/>
          <w:b/>
          <w:sz w:val="22"/>
          <w:szCs w:val="22"/>
        </w:rPr>
        <w:t>CONTRATAR LA COMPRA DE EQUIPOS, MÁQUINAS Y MOBILIARIO PARA EL GIMNASIO</w:t>
      </w:r>
      <w:r w:rsidR="005D74DD">
        <w:rPr>
          <w:rFonts w:ascii="Arial" w:eastAsia="Arial" w:hAnsi="Arial" w:cs="Arial"/>
          <w:b/>
          <w:sz w:val="22"/>
          <w:szCs w:val="22"/>
        </w:rPr>
        <w:t xml:space="preserve"> </w:t>
      </w:r>
      <w:r w:rsidR="005D74DD" w:rsidRPr="005D74DD">
        <w:rPr>
          <w:rFonts w:ascii="Arial" w:eastAsia="Arial" w:hAnsi="Arial" w:cs="Arial"/>
          <w:b/>
          <w:sz w:val="22"/>
          <w:szCs w:val="22"/>
        </w:rPr>
        <w:t>Y LOS AMBIENTES DEL CENTRO DE CONVIVENCIA DEL CENTRO AGROPECUARIO LA</w:t>
      </w:r>
      <w:r w:rsidR="005D74DD">
        <w:rPr>
          <w:rFonts w:ascii="Arial" w:eastAsia="Arial" w:hAnsi="Arial" w:cs="Arial"/>
          <w:b/>
          <w:sz w:val="22"/>
          <w:szCs w:val="22"/>
        </w:rPr>
        <w:t xml:space="preserve"> </w:t>
      </w:r>
      <w:r w:rsidR="005D74DD" w:rsidRPr="005D74DD">
        <w:rPr>
          <w:rFonts w:ascii="Arial" w:eastAsia="Arial" w:hAnsi="Arial" w:cs="Arial"/>
          <w:b/>
          <w:sz w:val="22"/>
          <w:szCs w:val="22"/>
        </w:rPr>
        <w:t>GRANJA, UBICADO EN EL ESPINAL, CON EL PROPÓSITO DE FORTALECER LAS</w:t>
      </w:r>
      <w:r w:rsidR="005D74DD">
        <w:rPr>
          <w:rFonts w:ascii="Arial" w:eastAsia="Arial" w:hAnsi="Arial" w:cs="Arial"/>
          <w:b/>
          <w:sz w:val="22"/>
          <w:szCs w:val="22"/>
        </w:rPr>
        <w:t xml:space="preserve"> </w:t>
      </w:r>
      <w:r w:rsidR="005D74DD" w:rsidRPr="005D74DD">
        <w:rPr>
          <w:rFonts w:ascii="Arial" w:eastAsia="Arial" w:hAnsi="Arial" w:cs="Arial"/>
          <w:b/>
          <w:sz w:val="22"/>
          <w:szCs w:val="22"/>
        </w:rPr>
        <w:t>CONDICIONES DE BIENESTAR AL APRENDIZ, PARA LA VIGENCIA 2025</w:t>
      </w:r>
      <w:r>
        <w:rPr>
          <w:rFonts w:ascii="Arial" w:eastAsia="Arial" w:hAnsi="Arial" w:cs="Arial"/>
          <w:b/>
          <w:sz w:val="22"/>
          <w:szCs w:val="22"/>
        </w:rPr>
        <w:t>”.</w:t>
      </w:r>
      <w:bookmarkEnd w:id="0"/>
    </w:p>
    <w:p w14:paraId="3A9B2F34" w14:textId="77777777" w:rsidR="00572AD5" w:rsidRDefault="00572AD5">
      <w:pPr>
        <w:jc w:val="both"/>
        <w:rPr>
          <w:rFonts w:ascii="Arial" w:eastAsia="Arial" w:hAnsi="Arial" w:cs="Arial"/>
          <w:color w:val="000000"/>
          <w:sz w:val="22"/>
          <w:szCs w:val="22"/>
        </w:rPr>
      </w:pPr>
    </w:p>
    <w:p w14:paraId="6E6EB362" w14:textId="77777777" w:rsidR="00572AD5" w:rsidRDefault="00000000">
      <w:pPr>
        <w:numPr>
          <w:ilvl w:val="0"/>
          <w:numId w:val="27"/>
        </w:numPr>
        <w:pBdr>
          <w:top w:val="nil"/>
          <w:left w:val="nil"/>
          <w:bottom w:val="nil"/>
          <w:right w:val="nil"/>
          <w:between w:val="nil"/>
        </w:pBdr>
        <w:spacing w:after="200" w:line="276" w:lineRule="auto"/>
        <w:rPr>
          <w:rFonts w:ascii="Arial" w:eastAsia="Arial" w:hAnsi="Arial" w:cs="Arial"/>
          <w:color w:val="000000"/>
          <w:sz w:val="22"/>
          <w:szCs w:val="22"/>
        </w:rPr>
      </w:pPr>
      <w:r>
        <w:rPr>
          <w:rFonts w:ascii="Arial" w:eastAsia="Arial" w:hAnsi="Arial" w:cs="Arial"/>
          <w:b/>
          <w:color w:val="000000"/>
          <w:sz w:val="22"/>
          <w:szCs w:val="22"/>
        </w:rPr>
        <w:t>DESCRIPCION DE LA NECESIDAD</w:t>
      </w:r>
    </w:p>
    <w:p w14:paraId="27E49A1C"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El Servicio Nacional de Aprendizaje - SENA, es un establecimiento público del orden nacional adscrito al Ministerio del Trabajo, encargado de cumplir la función que corresponde al Estado de invertir en el desarrollo social y técnico de los trabajadores colombianos, ofreciendo y ejecutando la formación profesional integral, para la incorporación y el desarrollo de las personas en actividades productivas que contribuyan al desarrollo social, </w:t>
      </w:r>
    </w:p>
    <w:p w14:paraId="07F8E00B"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SENA ofrece formación gratuita a millones de colombianos que se benefician con programas técnicos, tecnológicos y complementarios que, enfocados en el desarrollo económico, tecnológico y social del país, entran a las actividades productivas de las empresas y de la industria, para obtener mejor competitividad y producción con los mercados globalizados.</w:t>
      </w:r>
    </w:p>
    <w:p w14:paraId="71B7BE7D" w14:textId="77777777" w:rsidR="00572AD5" w:rsidRDefault="00572AD5">
      <w:pPr>
        <w:jc w:val="both"/>
        <w:rPr>
          <w:rFonts w:ascii="Arial" w:eastAsia="Arial" w:hAnsi="Arial" w:cs="Arial"/>
          <w:color w:val="000000"/>
          <w:sz w:val="22"/>
          <w:szCs w:val="22"/>
        </w:rPr>
      </w:pPr>
    </w:p>
    <w:p w14:paraId="3113BFF7"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La Institución está facultada por el Estado para la inversión en infraestructura necesaria para mejorar el desarrollo social y técnico de los trabajadores en las diferentes regiones, a través </w:t>
      </w:r>
      <w:r>
        <w:rPr>
          <w:rFonts w:ascii="Arial" w:eastAsia="Arial" w:hAnsi="Arial" w:cs="Arial"/>
          <w:color w:val="000000"/>
          <w:sz w:val="22"/>
          <w:szCs w:val="22"/>
        </w:rPr>
        <w:lastRenderedPageBreak/>
        <w:t>de formación profesional integral que logra incorporarse con las metas del Gobierno Nacional, mediante el cubrimiento de las necesidades específicas de recurso humano en las empresas, a través de la vinculación al mercado laboral, bien sea como empleado o subempleado, con grandes oportunidades para el desarrollo empresarial, comunitario y tecnológico.</w:t>
      </w:r>
    </w:p>
    <w:p w14:paraId="5DB838A0" w14:textId="77777777" w:rsidR="00572AD5" w:rsidRDefault="00572AD5">
      <w:pPr>
        <w:jc w:val="both"/>
        <w:rPr>
          <w:rFonts w:ascii="Arial" w:eastAsia="Arial" w:hAnsi="Arial" w:cs="Arial"/>
          <w:color w:val="000000"/>
          <w:sz w:val="22"/>
          <w:szCs w:val="22"/>
        </w:rPr>
      </w:pPr>
    </w:p>
    <w:p w14:paraId="7F61406A"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La Entidad más querida por los colombianos funciona en permanente alianza con el Gobierno, empresarios, trabajadores, productores, desde su creación, con el firme propósito de lograr la competitividad de Colombia a través del incremento de la productividad en las empresas, sin dejar a un lado la inclusión social, en articulación con la política nacional: Más empleo y menos pobreza. Por tal razón, se generan continuamente programas, proyectos de responsabilidad social, empresarial, formación, innovación, desarrollo tecnológico, internacionalización y transferencia de conocimientos.</w:t>
      </w:r>
    </w:p>
    <w:p w14:paraId="50F13118" w14:textId="77777777" w:rsidR="00572AD5" w:rsidRDefault="00572AD5">
      <w:pPr>
        <w:jc w:val="both"/>
        <w:rPr>
          <w:rFonts w:ascii="Arial" w:eastAsia="Arial" w:hAnsi="Arial" w:cs="Arial"/>
          <w:color w:val="000000"/>
          <w:sz w:val="22"/>
          <w:szCs w:val="22"/>
        </w:rPr>
      </w:pPr>
    </w:p>
    <w:p w14:paraId="4FF55908"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"SENA", para promover e impulsar el desarrollo y prosperidad del país, se alinea a los parámetros formulados en su Plan de Desarrollo, en el cual se plantean cinco estrategias transversales enfocadas a la infraestructura y competitividad, movilidad social, transformación del campo y crecimiento verde, consolidación del Estado Social de Derecho y un buen gobierno. Con lo anterior se busca avanzar hacia la construcción de un país en paz, equitativo y educado, donde hace un aporte muy importante en este proceso. En consecuencia, del plan de desarrollo nacional, el SENA ejecuta su plan estratégico, donde busca el mejoramiento de la calidad, con cobertura y pertinencia. Además de lo anterior, guía sus acciones a través del sistema integrado de gestión.</w:t>
      </w:r>
    </w:p>
    <w:p w14:paraId="126576A7" w14:textId="77777777" w:rsidR="00572AD5" w:rsidRDefault="00572AD5">
      <w:pPr>
        <w:jc w:val="both"/>
        <w:rPr>
          <w:rFonts w:ascii="Arial" w:eastAsia="Arial" w:hAnsi="Arial" w:cs="Arial"/>
          <w:color w:val="000000"/>
          <w:sz w:val="22"/>
          <w:szCs w:val="22"/>
        </w:rPr>
      </w:pPr>
    </w:p>
    <w:p w14:paraId="5985A9FA"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artículo 27 del Decreto 249 de 2004, señala las funciones que deben desarrollar las subdirecciones de centro para planear, programar y ejecutar todos los procesos mencionados anteriormente, entre ellas Administrar y ejecutar todos los procesos de contratación del Centro”.</w:t>
      </w:r>
    </w:p>
    <w:p w14:paraId="77D6B655" w14:textId="77777777" w:rsidR="00572AD5" w:rsidRDefault="00572AD5">
      <w:pPr>
        <w:jc w:val="both"/>
        <w:rPr>
          <w:rFonts w:ascii="Arial" w:eastAsia="Arial" w:hAnsi="Arial" w:cs="Arial"/>
          <w:color w:val="000000"/>
          <w:sz w:val="22"/>
          <w:szCs w:val="22"/>
        </w:rPr>
      </w:pPr>
    </w:p>
    <w:p w14:paraId="6B6CC7F2" w14:textId="3BC98DF0" w:rsidR="005D74DD"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El Centro Agropecuario "La Granja", en busca de brindar una formación profesional integral de calidad y bienestar a sus aprendices y con el fin de propender y proporcionar condiciones óptimas que permitan el mejoramiento de la calidad de vida de estos, cuenta con diversas </w:t>
      </w:r>
      <w:bookmarkStart w:id="1" w:name="_Hlk203712860"/>
      <w:r>
        <w:rPr>
          <w:rFonts w:ascii="Arial" w:eastAsia="Arial" w:hAnsi="Arial" w:cs="Arial"/>
          <w:color w:val="000000"/>
          <w:sz w:val="22"/>
          <w:szCs w:val="22"/>
        </w:rPr>
        <w:t>instalaciones</w:t>
      </w:r>
      <w:r w:rsidR="005D74DD">
        <w:rPr>
          <w:rFonts w:ascii="Arial" w:eastAsia="Arial" w:hAnsi="Arial" w:cs="Arial"/>
          <w:color w:val="000000"/>
          <w:sz w:val="22"/>
          <w:szCs w:val="22"/>
        </w:rPr>
        <w:t xml:space="preserve"> como el gimnasio</w:t>
      </w:r>
      <w:r w:rsidR="00D066C8">
        <w:rPr>
          <w:rFonts w:ascii="Arial" w:eastAsia="Arial" w:hAnsi="Arial" w:cs="Arial"/>
          <w:color w:val="000000"/>
          <w:sz w:val="22"/>
          <w:szCs w:val="22"/>
        </w:rPr>
        <w:t xml:space="preserve"> para el desarrollo de la cultura física</w:t>
      </w:r>
      <w:r w:rsidR="005D74DD">
        <w:rPr>
          <w:rFonts w:ascii="Arial" w:eastAsia="Arial" w:hAnsi="Arial" w:cs="Arial"/>
          <w:color w:val="000000"/>
          <w:sz w:val="22"/>
          <w:szCs w:val="22"/>
        </w:rPr>
        <w:t xml:space="preserve">, </w:t>
      </w:r>
      <w:r w:rsidR="00D066C8">
        <w:rPr>
          <w:rFonts w:ascii="Arial" w:eastAsia="Arial" w:hAnsi="Arial" w:cs="Arial"/>
          <w:color w:val="000000"/>
          <w:sz w:val="22"/>
          <w:szCs w:val="22"/>
        </w:rPr>
        <w:t>centro de convivencia y demás ambientes exteriores que requieren ser mejorados y modernizados para elevar la satisfacción y bienestar integral de los aprendices del centro</w:t>
      </w:r>
      <w:bookmarkEnd w:id="1"/>
      <w:r w:rsidR="00D066C8">
        <w:rPr>
          <w:rFonts w:ascii="Arial" w:eastAsia="Arial" w:hAnsi="Arial" w:cs="Arial"/>
          <w:color w:val="000000"/>
          <w:sz w:val="22"/>
          <w:szCs w:val="22"/>
        </w:rPr>
        <w:t>.</w:t>
      </w:r>
    </w:p>
    <w:p w14:paraId="68EA0BAE" w14:textId="77777777" w:rsidR="005D74DD" w:rsidRDefault="005D74DD">
      <w:pPr>
        <w:jc w:val="both"/>
        <w:rPr>
          <w:rFonts w:ascii="Arial" w:eastAsia="Arial" w:hAnsi="Arial" w:cs="Arial"/>
          <w:color w:val="000000"/>
          <w:sz w:val="22"/>
          <w:szCs w:val="22"/>
        </w:rPr>
      </w:pPr>
    </w:p>
    <w:p w14:paraId="124F265A" w14:textId="56F32515" w:rsidR="00C2129A" w:rsidRDefault="00C2129A">
      <w:pPr>
        <w:jc w:val="both"/>
        <w:rPr>
          <w:rFonts w:ascii="Arial" w:eastAsia="Arial" w:hAnsi="Arial" w:cs="Arial"/>
          <w:color w:val="000000"/>
          <w:sz w:val="22"/>
          <w:szCs w:val="22"/>
        </w:rPr>
      </w:pPr>
      <w:r>
        <w:rPr>
          <w:rFonts w:ascii="Arial" w:eastAsia="Arial" w:hAnsi="Arial" w:cs="Arial"/>
          <w:color w:val="000000"/>
          <w:sz w:val="22"/>
          <w:szCs w:val="22"/>
        </w:rPr>
        <w:t>Por la tanto es indispensable la adquisición de equipos para mejorar y fortalecer el gimnasio como bandas caminadoras, bicicletas estáticas, maquinas de ejercicio para fuerza, lockers, equipos de sonido e impresión entre otros.</w:t>
      </w:r>
    </w:p>
    <w:p w14:paraId="33D60830" w14:textId="77777777" w:rsidR="00C2129A" w:rsidRDefault="00C2129A">
      <w:pPr>
        <w:jc w:val="both"/>
        <w:rPr>
          <w:rFonts w:ascii="Arial" w:eastAsia="Arial" w:hAnsi="Arial" w:cs="Arial"/>
          <w:color w:val="000000"/>
          <w:sz w:val="22"/>
          <w:szCs w:val="22"/>
        </w:rPr>
      </w:pPr>
    </w:p>
    <w:p w14:paraId="16F63EFF" w14:textId="3EF9EA94" w:rsidR="00C2129A" w:rsidRDefault="00C2129A">
      <w:pPr>
        <w:jc w:val="both"/>
        <w:rPr>
          <w:rFonts w:ascii="Arial" w:eastAsia="Arial" w:hAnsi="Arial" w:cs="Arial"/>
          <w:color w:val="000000"/>
          <w:sz w:val="22"/>
          <w:szCs w:val="22"/>
        </w:rPr>
      </w:pPr>
      <w:r>
        <w:rPr>
          <w:rFonts w:ascii="Arial" w:eastAsia="Arial" w:hAnsi="Arial" w:cs="Arial"/>
          <w:color w:val="000000"/>
          <w:sz w:val="22"/>
          <w:szCs w:val="22"/>
        </w:rPr>
        <w:t xml:space="preserve">De otra </w:t>
      </w:r>
      <w:r w:rsidR="007A4B53">
        <w:rPr>
          <w:rFonts w:ascii="Arial" w:eastAsia="Arial" w:hAnsi="Arial" w:cs="Arial"/>
          <w:color w:val="000000"/>
          <w:sz w:val="22"/>
          <w:szCs w:val="22"/>
        </w:rPr>
        <w:t>parte,</w:t>
      </w:r>
      <w:r>
        <w:rPr>
          <w:rFonts w:ascii="Arial" w:eastAsia="Arial" w:hAnsi="Arial" w:cs="Arial"/>
          <w:color w:val="000000"/>
          <w:sz w:val="22"/>
          <w:szCs w:val="22"/>
        </w:rPr>
        <w:t xml:space="preserve"> también resulte importante la adquisición de equipos y elementos para el Centro de Convivencia de los Aprendices como le</w:t>
      </w:r>
      <w:r w:rsidR="00C05FE5">
        <w:rPr>
          <w:rFonts w:ascii="Arial" w:eastAsia="Arial" w:hAnsi="Arial" w:cs="Arial"/>
          <w:color w:val="000000"/>
          <w:sz w:val="22"/>
          <w:szCs w:val="22"/>
        </w:rPr>
        <w:t>ncería, silletería, mesas, neveras, refrigeradores, camas entre otros.</w:t>
      </w:r>
    </w:p>
    <w:p w14:paraId="2F791F38" w14:textId="77777777" w:rsidR="00C05FE5" w:rsidRDefault="00C05FE5">
      <w:pPr>
        <w:jc w:val="both"/>
        <w:rPr>
          <w:rFonts w:ascii="Arial" w:eastAsia="Arial" w:hAnsi="Arial" w:cs="Arial"/>
          <w:color w:val="000000"/>
          <w:sz w:val="22"/>
          <w:szCs w:val="22"/>
        </w:rPr>
      </w:pPr>
    </w:p>
    <w:p w14:paraId="18D02D54" w14:textId="77777777" w:rsidR="00572AD5" w:rsidRDefault="00000000">
      <w:pPr>
        <w:jc w:val="both"/>
        <w:rPr>
          <w:rFonts w:ascii="Arial" w:eastAsia="Arial" w:hAnsi="Arial" w:cs="Arial"/>
          <w:color w:val="000000"/>
          <w:sz w:val="22"/>
          <w:szCs w:val="22"/>
        </w:rPr>
      </w:pPr>
      <w:r w:rsidRPr="00B06534">
        <w:rPr>
          <w:rFonts w:ascii="Arial" w:eastAsia="Arial" w:hAnsi="Arial" w:cs="Arial"/>
          <w:color w:val="000000"/>
          <w:sz w:val="22"/>
          <w:szCs w:val="22"/>
        </w:rPr>
        <w:t>Dado lo anterior se presenta la necesidad de:</w:t>
      </w:r>
      <w:r>
        <w:rPr>
          <w:rFonts w:ascii="Arial" w:eastAsia="Arial" w:hAnsi="Arial" w:cs="Arial"/>
          <w:color w:val="000000"/>
          <w:sz w:val="22"/>
          <w:szCs w:val="22"/>
        </w:rPr>
        <w:t xml:space="preserve"> </w:t>
      </w:r>
    </w:p>
    <w:p w14:paraId="0567B8B9" w14:textId="77777777" w:rsidR="00572AD5" w:rsidRDefault="00572AD5">
      <w:pPr>
        <w:jc w:val="both"/>
        <w:rPr>
          <w:rFonts w:ascii="Arial" w:eastAsia="Arial" w:hAnsi="Arial" w:cs="Arial"/>
          <w:color w:val="000000"/>
          <w:sz w:val="22"/>
          <w:szCs w:val="22"/>
        </w:rPr>
      </w:pPr>
    </w:p>
    <w:p w14:paraId="72A0344E" w14:textId="77777777" w:rsidR="00222747" w:rsidRDefault="00222747">
      <w:pPr>
        <w:jc w:val="both"/>
        <w:rPr>
          <w:rFonts w:ascii="Arial" w:eastAsia="Arial" w:hAnsi="Arial" w:cs="Arial"/>
          <w:b/>
          <w:sz w:val="22"/>
          <w:szCs w:val="22"/>
        </w:rPr>
      </w:pPr>
      <w:r w:rsidRPr="00222747">
        <w:rPr>
          <w:rFonts w:ascii="Arial" w:eastAsia="Arial" w:hAnsi="Arial" w:cs="Arial"/>
          <w:b/>
          <w:sz w:val="22"/>
          <w:szCs w:val="22"/>
        </w:rPr>
        <w:t xml:space="preserve">“CONTRATAR LA COMPRA DE EQUIPOS, MÁQUINAS Y MOBILIARIO PARA EL GIMNASIO Y LOS AMBIENTES DEL CENTRO DE CONVIVENCIA DEL CENTRO </w:t>
      </w:r>
      <w:r w:rsidRPr="00222747">
        <w:rPr>
          <w:rFonts w:ascii="Arial" w:eastAsia="Arial" w:hAnsi="Arial" w:cs="Arial"/>
          <w:b/>
          <w:sz w:val="22"/>
          <w:szCs w:val="22"/>
        </w:rPr>
        <w:lastRenderedPageBreak/>
        <w:t>AGROPECUARIO LA GRANJA, UBICADO EN EL ESPINAL, CON EL PROPÓSITO DE FORTALECER LAS CONDICIONES DE BIENESTAR AL APRENDIZ, PARA LA VIGENCIA 2025”.</w:t>
      </w:r>
    </w:p>
    <w:p w14:paraId="2C3028DE" w14:textId="77777777" w:rsidR="00222747" w:rsidRDefault="00222747">
      <w:pPr>
        <w:jc w:val="both"/>
        <w:rPr>
          <w:rFonts w:ascii="Arial" w:eastAsia="Arial" w:hAnsi="Arial" w:cs="Arial"/>
          <w:b/>
          <w:sz w:val="22"/>
          <w:szCs w:val="22"/>
        </w:rPr>
      </w:pPr>
    </w:p>
    <w:p w14:paraId="3E083049" w14:textId="00F60872" w:rsidR="007A4B53" w:rsidRPr="007A4B53" w:rsidRDefault="00000000" w:rsidP="007A4B53">
      <w:pPr>
        <w:jc w:val="both"/>
        <w:rPr>
          <w:rFonts w:ascii="Arial" w:eastAsia="Arial" w:hAnsi="Arial" w:cs="Arial"/>
          <w:color w:val="000000"/>
          <w:sz w:val="22"/>
          <w:szCs w:val="22"/>
        </w:rPr>
      </w:pPr>
      <w:r>
        <w:rPr>
          <w:rFonts w:ascii="Arial" w:eastAsia="Arial" w:hAnsi="Arial" w:cs="Arial"/>
          <w:color w:val="000000"/>
          <w:sz w:val="22"/>
          <w:szCs w:val="22"/>
        </w:rPr>
        <w:t>De acuerdo con la necesidad antes descrita, se proyectan</w:t>
      </w:r>
      <w:r w:rsidR="00222747">
        <w:rPr>
          <w:rFonts w:ascii="Arial" w:eastAsia="Arial" w:hAnsi="Arial" w:cs="Arial"/>
          <w:color w:val="000000"/>
          <w:sz w:val="22"/>
          <w:szCs w:val="22"/>
        </w:rPr>
        <w:t xml:space="preserve"> la compra de equipos, maquinaria y mobiliario para mejorar y optimizar los ambientes de centro de convivencia y gimnasio</w:t>
      </w:r>
      <w:r w:rsidR="007A4B53">
        <w:rPr>
          <w:rFonts w:ascii="Arial" w:eastAsia="Arial" w:hAnsi="Arial" w:cs="Arial"/>
          <w:color w:val="000000"/>
          <w:sz w:val="22"/>
          <w:szCs w:val="22"/>
        </w:rPr>
        <w:t xml:space="preserve"> los cuales propenden por generar mayores beneficios en su desarrollo físico y emocional </w:t>
      </w:r>
      <w:r w:rsidR="007A4B53" w:rsidRPr="007A4B53">
        <w:rPr>
          <w:rFonts w:ascii="Arial" w:eastAsia="Arial" w:hAnsi="Arial" w:cs="Arial"/>
          <w:color w:val="000000"/>
          <w:sz w:val="22"/>
          <w:szCs w:val="22"/>
        </w:rPr>
        <w:t>que impact</w:t>
      </w:r>
      <w:r w:rsidR="007A4B53">
        <w:rPr>
          <w:rFonts w:ascii="Arial" w:eastAsia="Arial" w:hAnsi="Arial" w:cs="Arial"/>
          <w:color w:val="000000"/>
          <w:sz w:val="22"/>
          <w:szCs w:val="22"/>
        </w:rPr>
        <w:t>e</w:t>
      </w:r>
      <w:r w:rsidR="007A4B53" w:rsidRPr="007A4B53">
        <w:rPr>
          <w:rFonts w:ascii="Arial" w:eastAsia="Arial" w:hAnsi="Arial" w:cs="Arial"/>
          <w:color w:val="000000"/>
          <w:sz w:val="22"/>
          <w:szCs w:val="22"/>
        </w:rPr>
        <w:t>n tanto su desarrollo personal como su desempeño académico</w:t>
      </w:r>
      <w:r w:rsidR="007A4B53">
        <w:rPr>
          <w:rFonts w:ascii="Arial" w:eastAsia="Arial" w:hAnsi="Arial" w:cs="Arial"/>
          <w:color w:val="000000"/>
          <w:sz w:val="22"/>
          <w:szCs w:val="22"/>
        </w:rPr>
        <w:t>, en tal sentido se detallan los principales beneficios</w:t>
      </w:r>
      <w:r w:rsidR="007A4B53" w:rsidRPr="007A4B53">
        <w:rPr>
          <w:rFonts w:ascii="Arial" w:eastAsia="Arial" w:hAnsi="Arial" w:cs="Arial"/>
          <w:color w:val="000000"/>
          <w:sz w:val="22"/>
          <w:szCs w:val="22"/>
        </w:rPr>
        <w:t>:</w:t>
      </w:r>
    </w:p>
    <w:p w14:paraId="5B313077" w14:textId="77777777" w:rsidR="007A4B53" w:rsidRPr="007A4B53" w:rsidRDefault="007A4B53" w:rsidP="007A4B53">
      <w:pPr>
        <w:jc w:val="both"/>
        <w:rPr>
          <w:rFonts w:ascii="Arial" w:eastAsia="Arial" w:hAnsi="Arial" w:cs="Arial"/>
          <w:color w:val="000000"/>
          <w:sz w:val="22"/>
          <w:szCs w:val="22"/>
        </w:rPr>
      </w:pPr>
    </w:p>
    <w:p w14:paraId="091D3E2B" w14:textId="602612E6"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Mejora del rendimiento académico</w:t>
      </w:r>
    </w:p>
    <w:p w14:paraId="1090EB1A" w14:textId="67505363"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 xml:space="preserve">Los </w:t>
      </w:r>
      <w:r>
        <w:rPr>
          <w:rFonts w:ascii="Arial" w:eastAsia="Arial" w:hAnsi="Arial" w:cs="Arial"/>
          <w:color w:val="000000"/>
          <w:sz w:val="22"/>
          <w:szCs w:val="22"/>
        </w:rPr>
        <w:t>aprendices</w:t>
      </w:r>
      <w:r w:rsidRPr="007A4B53">
        <w:rPr>
          <w:rFonts w:ascii="Arial" w:eastAsia="Arial" w:hAnsi="Arial" w:cs="Arial"/>
          <w:color w:val="000000"/>
          <w:sz w:val="22"/>
          <w:szCs w:val="22"/>
        </w:rPr>
        <w:t xml:space="preserve"> que cuentan con apoyo emocional, psicológico y físico tienden a concentrarse mejor y a obtener mejores </w:t>
      </w:r>
      <w:r w:rsidR="00A8745B">
        <w:rPr>
          <w:rFonts w:ascii="Arial" w:eastAsia="Arial" w:hAnsi="Arial" w:cs="Arial"/>
          <w:color w:val="000000"/>
          <w:sz w:val="22"/>
          <w:szCs w:val="22"/>
        </w:rPr>
        <w:t>resultados académicos</w:t>
      </w:r>
      <w:r w:rsidRPr="007A4B53">
        <w:rPr>
          <w:rFonts w:ascii="Arial" w:eastAsia="Arial" w:hAnsi="Arial" w:cs="Arial"/>
          <w:color w:val="000000"/>
          <w:sz w:val="22"/>
          <w:szCs w:val="22"/>
        </w:rPr>
        <w:t>.</w:t>
      </w:r>
      <w:r w:rsidR="00A8745B">
        <w:rPr>
          <w:rFonts w:ascii="Arial" w:eastAsia="Arial" w:hAnsi="Arial" w:cs="Arial"/>
          <w:color w:val="000000"/>
          <w:sz w:val="22"/>
          <w:szCs w:val="22"/>
        </w:rPr>
        <w:t xml:space="preserve"> </w:t>
      </w:r>
      <w:r w:rsidRPr="007A4B53">
        <w:rPr>
          <w:rFonts w:ascii="Arial" w:eastAsia="Arial" w:hAnsi="Arial" w:cs="Arial"/>
          <w:color w:val="000000"/>
          <w:sz w:val="22"/>
          <w:szCs w:val="22"/>
        </w:rPr>
        <w:t>El manejo adecuado del estrés y la ansiedad favorece la productividad y la motivación.</w:t>
      </w:r>
    </w:p>
    <w:p w14:paraId="22980C87" w14:textId="77777777" w:rsidR="007A4B53" w:rsidRPr="007A4B53" w:rsidRDefault="007A4B53" w:rsidP="007A4B53">
      <w:pPr>
        <w:jc w:val="both"/>
        <w:rPr>
          <w:rFonts w:ascii="Arial" w:eastAsia="Arial" w:hAnsi="Arial" w:cs="Arial"/>
          <w:color w:val="000000"/>
          <w:sz w:val="22"/>
          <w:szCs w:val="22"/>
        </w:rPr>
      </w:pPr>
    </w:p>
    <w:p w14:paraId="3E2566D8" w14:textId="03E08BC0"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Desarrollo integral del estudiante</w:t>
      </w:r>
    </w:p>
    <w:p w14:paraId="3BE7311B" w14:textId="77777777"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Los programas de bienestar fomentan habilidades socioemocionales como la empatía, la resiliencia y la autoconciencia.</w:t>
      </w:r>
    </w:p>
    <w:p w14:paraId="2F539AF9" w14:textId="77777777" w:rsidR="007A4B53" w:rsidRPr="007A4B53" w:rsidRDefault="007A4B53" w:rsidP="007A4B53">
      <w:pPr>
        <w:jc w:val="both"/>
        <w:rPr>
          <w:rFonts w:ascii="Arial" w:eastAsia="Arial" w:hAnsi="Arial" w:cs="Arial"/>
          <w:color w:val="000000"/>
          <w:sz w:val="22"/>
          <w:szCs w:val="22"/>
        </w:rPr>
      </w:pPr>
    </w:p>
    <w:p w14:paraId="356D04D8" w14:textId="77777777"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Ayudan a formar individuos más equilibrados y con mejores herramientas para enfrentar desafíos personales y profesionales.</w:t>
      </w:r>
    </w:p>
    <w:p w14:paraId="325FA9C3" w14:textId="77777777" w:rsidR="007A4B53" w:rsidRPr="007A4B53" w:rsidRDefault="007A4B53" w:rsidP="007A4B53">
      <w:pPr>
        <w:jc w:val="both"/>
        <w:rPr>
          <w:rFonts w:ascii="Arial" w:eastAsia="Arial" w:hAnsi="Arial" w:cs="Arial"/>
          <w:color w:val="000000"/>
          <w:sz w:val="22"/>
          <w:szCs w:val="22"/>
        </w:rPr>
      </w:pPr>
    </w:p>
    <w:p w14:paraId="1B0068C5" w14:textId="06B8A4FF"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Reducción de problemas de salud mental</w:t>
      </w:r>
    </w:p>
    <w:p w14:paraId="79C0199E" w14:textId="59D043FB" w:rsidR="007A4B53" w:rsidRPr="007A4B53" w:rsidRDefault="00A8745B" w:rsidP="007A4B53">
      <w:pPr>
        <w:jc w:val="both"/>
        <w:rPr>
          <w:rFonts w:ascii="Arial" w:eastAsia="Arial" w:hAnsi="Arial" w:cs="Arial"/>
          <w:color w:val="000000"/>
          <w:sz w:val="22"/>
          <w:szCs w:val="22"/>
        </w:rPr>
      </w:pPr>
      <w:r>
        <w:rPr>
          <w:rFonts w:ascii="Arial" w:eastAsia="Arial" w:hAnsi="Arial" w:cs="Arial"/>
          <w:color w:val="000000"/>
          <w:sz w:val="22"/>
          <w:szCs w:val="22"/>
        </w:rPr>
        <w:t xml:space="preserve">La facilidad y </w:t>
      </w:r>
      <w:r w:rsidR="007A4B53" w:rsidRPr="007A4B53">
        <w:rPr>
          <w:rFonts w:ascii="Arial" w:eastAsia="Arial" w:hAnsi="Arial" w:cs="Arial"/>
          <w:color w:val="000000"/>
          <w:sz w:val="22"/>
          <w:szCs w:val="22"/>
        </w:rPr>
        <w:t xml:space="preserve">acceso a </w:t>
      </w:r>
      <w:r>
        <w:rPr>
          <w:rFonts w:ascii="Arial" w:eastAsia="Arial" w:hAnsi="Arial" w:cs="Arial"/>
          <w:color w:val="000000"/>
          <w:sz w:val="22"/>
          <w:szCs w:val="22"/>
        </w:rPr>
        <w:t>espacios físicos suficientes, adecuados y modernizados ayudan a</w:t>
      </w:r>
      <w:r w:rsidR="007A4B53" w:rsidRPr="007A4B53">
        <w:rPr>
          <w:rFonts w:ascii="Arial" w:eastAsia="Arial" w:hAnsi="Arial" w:cs="Arial"/>
          <w:color w:val="000000"/>
          <w:sz w:val="22"/>
          <w:szCs w:val="22"/>
        </w:rPr>
        <w:t xml:space="preserve"> disminuir la incidencia de depresión, ansiedad y otros trastornos.</w:t>
      </w:r>
    </w:p>
    <w:p w14:paraId="59A3AA3F" w14:textId="77777777" w:rsidR="007A4B53" w:rsidRPr="007A4B53" w:rsidRDefault="007A4B53" w:rsidP="007A4B53">
      <w:pPr>
        <w:jc w:val="both"/>
        <w:rPr>
          <w:rFonts w:ascii="Arial" w:eastAsia="Arial" w:hAnsi="Arial" w:cs="Arial"/>
          <w:color w:val="000000"/>
          <w:sz w:val="22"/>
          <w:szCs w:val="22"/>
        </w:rPr>
      </w:pPr>
    </w:p>
    <w:p w14:paraId="76C729CB" w14:textId="77777777"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Se genera un ambiente de apoyo que previene situaciones críticas como el abandono escolar o el suicidio.</w:t>
      </w:r>
    </w:p>
    <w:p w14:paraId="519B5B10" w14:textId="77777777" w:rsidR="007A4B53" w:rsidRPr="007A4B53" w:rsidRDefault="007A4B53" w:rsidP="007A4B53">
      <w:pPr>
        <w:jc w:val="both"/>
        <w:rPr>
          <w:rFonts w:ascii="Arial" w:eastAsia="Arial" w:hAnsi="Arial" w:cs="Arial"/>
          <w:color w:val="000000"/>
          <w:sz w:val="22"/>
          <w:szCs w:val="22"/>
        </w:rPr>
      </w:pPr>
    </w:p>
    <w:p w14:paraId="50015AA4" w14:textId="645A37B4"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Fomento de hábitos saludables</w:t>
      </w:r>
    </w:p>
    <w:p w14:paraId="5EFF19A5" w14:textId="77777777"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Se promueve la alimentación balanceada, el ejercicio físico, el sueño adecuado y el autocuidado.</w:t>
      </w:r>
    </w:p>
    <w:p w14:paraId="7B87C77F" w14:textId="77777777" w:rsidR="007A4B53" w:rsidRPr="007A4B53" w:rsidRDefault="007A4B53" w:rsidP="007A4B53">
      <w:pPr>
        <w:jc w:val="both"/>
        <w:rPr>
          <w:rFonts w:ascii="Arial" w:eastAsia="Arial" w:hAnsi="Arial" w:cs="Arial"/>
          <w:color w:val="000000"/>
          <w:sz w:val="22"/>
          <w:szCs w:val="22"/>
        </w:rPr>
      </w:pPr>
    </w:p>
    <w:p w14:paraId="22FD5D4E" w14:textId="76F62630"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 xml:space="preserve">Esto impacta positivamente tanto la salud física como el bienestar emocional del </w:t>
      </w:r>
      <w:r w:rsidR="00A8745B">
        <w:rPr>
          <w:rFonts w:ascii="Arial" w:eastAsia="Arial" w:hAnsi="Arial" w:cs="Arial"/>
          <w:color w:val="000000"/>
          <w:sz w:val="22"/>
          <w:szCs w:val="22"/>
        </w:rPr>
        <w:t>aprendiz</w:t>
      </w:r>
      <w:r w:rsidRPr="007A4B53">
        <w:rPr>
          <w:rFonts w:ascii="Arial" w:eastAsia="Arial" w:hAnsi="Arial" w:cs="Arial"/>
          <w:color w:val="000000"/>
          <w:sz w:val="22"/>
          <w:szCs w:val="22"/>
        </w:rPr>
        <w:t>.</w:t>
      </w:r>
    </w:p>
    <w:p w14:paraId="6CF15113" w14:textId="77777777" w:rsidR="007A4B53" w:rsidRPr="007A4B53" w:rsidRDefault="007A4B53" w:rsidP="007A4B53">
      <w:pPr>
        <w:jc w:val="both"/>
        <w:rPr>
          <w:rFonts w:ascii="Arial" w:eastAsia="Arial" w:hAnsi="Arial" w:cs="Arial"/>
          <w:color w:val="000000"/>
          <w:sz w:val="22"/>
          <w:szCs w:val="22"/>
        </w:rPr>
      </w:pPr>
    </w:p>
    <w:p w14:paraId="00C03AA5" w14:textId="3D3B024D"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Mejora del clima escolar</w:t>
      </w:r>
    </w:p>
    <w:p w14:paraId="00E5A25B" w14:textId="1628158E" w:rsidR="007A4B53" w:rsidRP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Los servicios de bienestar ayudan a crear un entorno más inclusivo, seguro y empático.</w:t>
      </w:r>
      <w:r w:rsidR="00A8745B">
        <w:rPr>
          <w:rFonts w:ascii="Arial" w:eastAsia="Arial" w:hAnsi="Arial" w:cs="Arial"/>
          <w:color w:val="000000"/>
          <w:sz w:val="22"/>
          <w:szCs w:val="22"/>
        </w:rPr>
        <w:t xml:space="preserve"> </w:t>
      </w:r>
      <w:r w:rsidRPr="007A4B53">
        <w:rPr>
          <w:rFonts w:ascii="Arial" w:eastAsia="Arial" w:hAnsi="Arial" w:cs="Arial"/>
          <w:color w:val="000000"/>
          <w:sz w:val="22"/>
          <w:szCs w:val="22"/>
        </w:rPr>
        <w:t>Se reducen los conflictos, el acoso escolar y otros comportamientos disruptivos.</w:t>
      </w:r>
    </w:p>
    <w:p w14:paraId="04921CE8" w14:textId="77777777" w:rsidR="007A4B53" w:rsidRPr="007A4B53" w:rsidRDefault="007A4B53" w:rsidP="007A4B53">
      <w:pPr>
        <w:jc w:val="both"/>
        <w:rPr>
          <w:rFonts w:ascii="Arial" w:eastAsia="Arial" w:hAnsi="Arial" w:cs="Arial"/>
          <w:color w:val="000000"/>
          <w:sz w:val="22"/>
          <w:szCs w:val="22"/>
        </w:rPr>
      </w:pPr>
    </w:p>
    <w:p w14:paraId="746BAB53" w14:textId="43C2F243" w:rsidR="007A4B53" w:rsidRPr="00A8745B" w:rsidRDefault="007A4B53" w:rsidP="007A4B53">
      <w:pPr>
        <w:jc w:val="both"/>
        <w:rPr>
          <w:rFonts w:ascii="Arial" w:eastAsia="Arial" w:hAnsi="Arial" w:cs="Arial"/>
          <w:b/>
          <w:bCs/>
          <w:color w:val="000000"/>
          <w:sz w:val="22"/>
          <w:szCs w:val="22"/>
        </w:rPr>
      </w:pPr>
      <w:r w:rsidRPr="00A8745B">
        <w:rPr>
          <w:rFonts w:ascii="Arial" w:eastAsia="Arial" w:hAnsi="Arial" w:cs="Arial"/>
          <w:b/>
          <w:bCs/>
          <w:color w:val="000000"/>
          <w:sz w:val="22"/>
          <w:szCs w:val="22"/>
        </w:rPr>
        <w:t>Fortalecimiento del sentido de pertenencia</w:t>
      </w:r>
    </w:p>
    <w:p w14:paraId="2A90804D" w14:textId="3F6AD383" w:rsidR="007A4B53" w:rsidRDefault="007A4B53" w:rsidP="007A4B53">
      <w:pPr>
        <w:jc w:val="both"/>
        <w:rPr>
          <w:rFonts w:ascii="Arial" w:eastAsia="Arial" w:hAnsi="Arial" w:cs="Arial"/>
          <w:color w:val="000000"/>
          <w:sz w:val="22"/>
          <w:szCs w:val="22"/>
        </w:rPr>
      </w:pPr>
      <w:r w:rsidRPr="007A4B53">
        <w:rPr>
          <w:rFonts w:ascii="Arial" w:eastAsia="Arial" w:hAnsi="Arial" w:cs="Arial"/>
          <w:color w:val="000000"/>
          <w:sz w:val="22"/>
          <w:szCs w:val="22"/>
        </w:rPr>
        <w:t xml:space="preserve">Los </w:t>
      </w:r>
      <w:r w:rsidR="00A8745B">
        <w:rPr>
          <w:rFonts w:ascii="Arial" w:eastAsia="Arial" w:hAnsi="Arial" w:cs="Arial"/>
          <w:color w:val="000000"/>
          <w:sz w:val="22"/>
          <w:szCs w:val="22"/>
        </w:rPr>
        <w:t>aprendices</w:t>
      </w:r>
      <w:r w:rsidRPr="007A4B53">
        <w:rPr>
          <w:rFonts w:ascii="Arial" w:eastAsia="Arial" w:hAnsi="Arial" w:cs="Arial"/>
          <w:color w:val="000000"/>
          <w:sz w:val="22"/>
          <w:szCs w:val="22"/>
        </w:rPr>
        <w:t xml:space="preserve"> se sienten más valorados y apoyados, lo cual fortalece su vínculo con la institución.</w:t>
      </w:r>
      <w:r w:rsidR="00A8745B">
        <w:rPr>
          <w:rFonts w:ascii="Arial" w:eastAsia="Arial" w:hAnsi="Arial" w:cs="Arial"/>
          <w:color w:val="000000"/>
          <w:sz w:val="22"/>
          <w:szCs w:val="22"/>
        </w:rPr>
        <w:t xml:space="preserve"> </w:t>
      </w:r>
      <w:r w:rsidRPr="007A4B53">
        <w:rPr>
          <w:rFonts w:ascii="Arial" w:eastAsia="Arial" w:hAnsi="Arial" w:cs="Arial"/>
          <w:color w:val="000000"/>
          <w:sz w:val="22"/>
          <w:szCs w:val="22"/>
        </w:rPr>
        <w:t>Esto aumenta la retención escolar y reducir la deserción.</w:t>
      </w:r>
    </w:p>
    <w:p w14:paraId="540FC519" w14:textId="77777777" w:rsidR="009E73C1" w:rsidRDefault="009E73C1" w:rsidP="007A4B53">
      <w:pPr>
        <w:jc w:val="both"/>
        <w:rPr>
          <w:rFonts w:ascii="Arial" w:eastAsia="Arial" w:hAnsi="Arial" w:cs="Arial"/>
          <w:color w:val="000000"/>
          <w:sz w:val="22"/>
          <w:szCs w:val="22"/>
        </w:rPr>
      </w:pPr>
    </w:p>
    <w:p w14:paraId="07606B7D" w14:textId="77777777" w:rsidR="009E73C1" w:rsidRDefault="009E73C1" w:rsidP="007A4B53">
      <w:pPr>
        <w:jc w:val="both"/>
        <w:rPr>
          <w:rFonts w:ascii="Arial" w:eastAsia="Arial" w:hAnsi="Arial" w:cs="Arial"/>
          <w:color w:val="000000"/>
          <w:sz w:val="22"/>
          <w:szCs w:val="22"/>
        </w:rPr>
      </w:pPr>
    </w:p>
    <w:p w14:paraId="6C33EB12" w14:textId="77777777" w:rsidR="009E73C1" w:rsidRDefault="009E73C1" w:rsidP="007A4B53">
      <w:pPr>
        <w:jc w:val="both"/>
        <w:rPr>
          <w:rFonts w:ascii="Arial" w:eastAsia="Arial" w:hAnsi="Arial" w:cs="Arial"/>
          <w:color w:val="000000"/>
          <w:sz w:val="22"/>
          <w:szCs w:val="22"/>
        </w:rPr>
      </w:pPr>
    </w:p>
    <w:p w14:paraId="5DE56D4F" w14:textId="77777777" w:rsidR="009E73C1" w:rsidRDefault="009E73C1" w:rsidP="007A4B53">
      <w:pPr>
        <w:jc w:val="both"/>
        <w:rPr>
          <w:rFonts w:ascii="Arial" w:eastAsia="Arial" w:hAnsi="Arial" w:cs="Arial"/>
          <w:color w:val="000000"/>
          <w:sz w:val="22"/>
          <w:szCs w:val="22"/>
        </w:rPr>
      </w:pPr>
    </w:p>
    <w:p w14:paraId="0E86BA43" w14:textId="77777777" w:rsidR="009E73C1" w:rsidRDefault="009E73C1" w:rsidP="007A4B53">
      <w:pPr>
        <w:jc w:val="both"/>
        <w:rPr>
          <w:rFonts w:ascii="Arial" w:eastAsia="Arial" w:hAnsi="Arial" w:cs="Arial"/>
          <w:color w:val="000000"/>
          <w:sz w:val="22"/>
          <w:szCs w:val="22"/>
        </w:rPr>
      </w:pPr>
    </w:p>
    <w:p w14:paraId="758E8E01" w14:textId="77777777" w:rsidR="009E73C1" w:rsidRDefault="009E73C1" w:rsidP="007A4B53">
      <w:pPr>
        <w:jc w:val="both"/>
        <w:rPr>
          <w:rFonts w:ascii="Arial" w:eastAsia="Arial" w:hAnsi="Arial" w:cs="Arial"/>
          <w:color w:val="000000"/>
          <w:sz w:val="22"/>
          <w:szCs w:val="22"/>
        </w:rPr>
      </w:pPr>
    </w:p>
    <w:p w14:paraId="5D0C5DFB" w14:textId="77777777" w:rsidR="009E73C1" w:rsidRDefault="009E73C1" w:rsidP="007A4B53">
      <w:pPr>
        <w:jc w:val="both"/>
        <w:rPr>
          <w:rFonts w:ascii="Arial" w:eastAsia="Arial" w:hAnsi="Arial" w:cs="Arial"/>
          <w:color w:val="000000"/>
          <w:sz w:val="22"/>
          <w:szCs w:val="22"/>
        </w:rPr>
      </w:pPr>
    </w:p>
    <w:p w14:paraId="0DDAE74D" w14:textId="2A9AAF32" w:rsidR="009E73C1" w:rsidRPr="009E73C1" w:rsidRDefault="009E73C1" w:rsidP="009E73C1">
      <w:pPr>
        <w:jc w:val="both"/>
        <w:rPr>
          <w:rFonts w:ascii="Arial" w:eastAsia="Arial" w:hAnsi="Arial" w:cs="Arial"/>
          <w:color w:val="000000"/>
          <w:sz w:val="22"/>
          <w:szCs w:val="22"/>
        </w:rPr>
      </w:pPr>
      <w:r w:rsidRPr="009E73C1">
        <w:rPr>
          <w:rFonts w:ascii="Arial" w:eastAsia="Arial" w:hAnsi="Arial" w:cs="Arial"/>
          <w:color w:val="000000"/>
          <w:sz w:val="22"/>
          <w:szCs w:val="22"/>
        </w:rPr>
        <w:t xml:space="preserve">De igual forma suplir las adquisiciones de equipos, máquinas y mobiliarios pretende reconocer el deporte, la actividad física y el aprovechamiento del tiempo libre como elementos fundamentales en mejoramiento de la formación profesional integral para </w:t>
      </w:r>
      <w:r w:rsidRPr="009E73C1">
        <w:rPr>
          <w:rFonts w:ascii="Arial" w:hAnsi="Arial" w:cs="Arial"/>
          <w:color w:val="000000"/>
          <w:sz w:val="22"/>
          <w:szCs w:val="22"/>
        </w:rPr>
        <w:t>promover la actividad física como estrategia de adopción de hábitos de vida saludable y manejo adecuado del tiempo libre a través de formular planes deportivos que involucren la participación de los aprendices en jornadas intercentros</w:t>
      </w:r>
      <w:r w:rsidRPr="009E73C1">
        <w:rPr>
          <w:rFonts w:ascii="Arial" w:eastAsia="Arial" w:hAnsi="Arial" w:cs="Arial"/>
          <w:color w:val="000000"/>
          <w:sz w:val="22"/>
          <w:szCs w:val="22"/>
        </w:rPr>
        <w:t>.</w:t>
      </w:r>
    </w:p>
    <w:p w14:paraId="0496C372" w14:textId="77777777" w:rsidR="007A4B53" w:rsidRPr="009E73C1" w:rsidRDefault="007A4B53" w:rsidP="007A4B53">
      <w:pPr>
        <w:jc w:val="both"/>
        <w:rPr>
          <w:rFonts w:ascii="Arial" w:eastAsia="Arial" w:hAnsi="Arial" w:cs="Arial"/>
          <w:color w:val="000000"/>
          <w:sz w:val="22"/>
          <w:szCs w:val="22"/>
        </w:rPr>
      </w:pPr>
    </w:p>
    <w:p w14:paraId="57D0D792" w14:textId="77777777" w:rsidR="009E73C1" w:rsidRDefault="009E73C1" w:rsidP="009E73C1">
      <w:pPr>
        <w:jc w:val="both"/>
        <w:rPr>
          <w:rFonts w:ascii="Arial" w:eastAsia="Arial" w:hAnsi="Arial" w:cs="Arial"/>
          <w:color w:val="000000"/>
          <w:sz w:val="22"/>
          <w:szCs w:val="22"/>
        </w:rPr>
      </w:pPr>
      <w:r w:rsidRPr="009E73C1">
        <w:rPr>
          <w:rFonts w:ascii="Arial" w:eastAsia="Arial" w:hAnsi="Arial" w:cs="Arial"/>
          <w:color w:val="000000"/>
          <w:sz w:val="22"/>
          <w:szCs w:val="22"/>
        </w:rPr>
        <w:t>Las actividades o servicios que se deriven de la implementación de los objetivos estratégicos previstos son de obligatorio cumplimiento para la entidad y de participación voluntaria por parte de los aprendices, según lo indica el anexo de la Resolución 1399.</w:t>
      </w:r>
    </w:p>
    <w:p w14:paraId="600F3B90" w14:textId="77777777" w:rsidR="009E73C1" w:rsidRPr="009E73C1" w:rsidRDefault="009E73C1" w:rsidP="009E73C1">
      <w:pPr>
        <w:jc w:val="both"/>
        <w:rPr>
          <w:rFonts w:ascii="Arial" w:eastAsia="Arial" w:hAnsi="Arial" w:cs="Arial"/>
          <w:color w:val="000000"/>
          <w:sz w:val="22"/>
          <w:szCs w:val="22"/>
        </w:rPr>
      </w:pPr>
    </w:p>
    <w:p w14:paraId="01EAD7FB" w14:textId="1E025A6A" w:rsidR="009E73C1" w:rsidRDefault="009E73C1" w:rsidP="009E73C1">
      <w:pPr>
        <w:jc w:val="both"/>
        <w:rPr>
          <w:rFonts w:ascii="Arial" w:eastAsia="Arial" w:hAnsi="Arial" w:cs="Arial"/>
          <w:color w:val="000000"/>
          <w:sz w:val="22"/>
          <w:szCs w:val="22"/>
        </w:rPr>
      </w:pPr>
      <w:r w:rsidRPr="009E73C1">
        <w:rPr>
          <w:rFonts w:ascii="Arial" w:eastAsia="Arial" w:hAnsi="Arial" w:cs="Arial"/>
          <w:color w:val="000000"/>
          <w:sz w:val="22"/>
          <w:szCs w:val="22"/>
        </w:rPr>
        <w:t>El Centro Agropecuario La Granja cuenta con un Centro de Convivencia – Internado con una capacidad de alojamiento para 330 aprendices, a quienes se les otorga su estadía durante la vigencia anual, cabe señalar que algunos cupos se liberan trimestralmente en la medida que los aprendices beneficiarios terminan su proceso educativo lectivo y salen a realizar sus prácticas empresariales, adicionalmente el Internado se articula para el desarrollo de la estrategia S</w:t>
      </w:r>
      <w:r w:rsidR="00DE0128">
        <w:rPr>
          <w:rFonts w:ascii="Arial" w:eastAsia="Arial" w:hAnsi="Arial" w:cs="Arial"/>
          <w:color w:val="000000"/>
          <w:sz w:val="22"/>
          <w:szCs w:val="22"/>
        </w:rPr>
        <w:t>ENA</w:t>
      </w:r>
      <w:r w:rsidRPr="009E73C1">
        <w:rPr>
          <w:rFonts w:ascii="Arial" w:eastAsia="Arial" w:hAnsi="Arial" w:cs="Arial"/>
          <w:color w:val="000000"/>
          <w:sz w:val="22"/>
          <w:szCs w:val="22"/>
        </w:rPr>
        <w:t xml:space="preserve"> Empresa a la cual se les asigna un cupo rotativo dentro del internado el cual permite atender las unidades pecuarias durante todos los días de la semana del año escolar, al igual  se brinda alojamiento  a los aprendices  fuera de Centro que vienen a realizar prácticas formativas. </w:t>
      </w:r>
    </w:p>
    <w:p w14:paraId="25145F30" w14:textId="77777777" w:rsidR="00DE0128" w:rsidRPr="009E73C1" w:rsidRDefault="00DE0128" w:rsidP="009E73C1">
      <w:pPr>
        <w:jc w:val="both"/>
        <w:rPr>
          <w:rFonts w:ascii="Arial" w:eastAsia="Arial" w:hAnsi="Arial" w:cs="Arial"/>
          <w:color w:val="000000"/>
          <w:sz w:val="22"/>
          <w:szCs w:val="22"/>
        </w:rPr>
      </w:pPr>
    </w:p>
    <w:p w14:paraId="296C66CA" w14:textId="77777777" w:rsidR="009E73C1" w:rsidRDefault="009E73C1" w:rsidP="009E73C1">
      <w:pPr>
        <w:jc w:val="both"/>
        <w:rPr>
          <w:rFonts w:ascii="Arial" w:eastAsia="Arial" w:hAnsi="Arial" w:cs="Arial"/>
          <w:color w:val="000000"/>
          <w:sz w:val="22"/>
          <w:szCs w:val="22"/>
        </w:rPr>
      </w:pPr>
      <w:r w:rsidRPr="009E73C1">
        <w:rPr>
          <w:rFonts w:ascii="Arial" w:eastAsia="Arial" w:hAnsi="Arial" w:cs="Arial"/>
          <w:color w:val="000000"/>
          <w:sz w:val="22"/>
          <w:szCs w:val="22"/>
        </w:rPr>
        <w:t>El internado-Centro de convivencia ha atendido aproximadamente a 500 aprendices durante la vigencia, que según lineamiento de la guía de apoyo socioeconómica se define que el aprendiz beneficiario del Centro de Convivencia es aquel cuya estancia puede ser permanente u ocasional durante el proceso formativo, definiéndose como Aprendiz Interno del Centro de Convivencia todo aprendiz que le sea otorgado hospedaje en un Centro de Convivencia por una noche o más.</w:t>
      </w:r>
    </w:p>
    <w:p w14:paraId="6E210524" w14:textId="77777777" w:rsidR="00DE0128" w:rsidRPr="009E73C1" w:rsidRDefault="00DE0128" w:rsidP="009E73C1">
      <w:pPr>
        <w:jc w:val="both"/>
        <w:rPr>
          <w:rFonts w:ascii="Arial" w:eastAsia="Arial" w:hAnsi="Arial" w:cs="Arial"/>
          <w:color w:val="000000"/>
          <w:sz w:val="22"/>
          <w:szCs w:val="22"/>
        </w:rPr>
      </w:pPr>
    </w:p>
    <w:p w14:paraId="42B8F211" w14:textId="6E4C84A9" w:rsidR="007A4B53" w:rsidRPr="009E73C1" w:rsidRDefault="00DE0128" w:rsidP="009E73C1">
      <w:pPr>
        <w:jc w:val="both"/>
        <w:rPr>
          <w:rFonts w:ascii="Arial" w:eastAsia="Arial" w:hAnsi="Arial" w:cs="Arial"/>
          <w:color w:val="000000"/>
          <w:sz w:val="22"/>
          <w:szCs w:val="22"/>
        </w:rPr>
      </w:pPr>
      <w:r>
        <w:rPr>
          <w:rFonts w:ascii="Arial" w:eastAsia="Arial" w:hAnsi="Arial" w:cs="Arial"/>
          <w:color w:val="000000"/>
          <w:sz w:val="22"/>
          <w:szCs w:val="22"/>
        </w:rPr>
        <w:t xml:space="preserve">Por </w:t>
      </w:r>
      <w:r w:rsidR="00D6411F">
        <w:rPr>
          <w:rFonts w:ascii="Arial" w:eastAsia="Arial" w:hAnsi="Arial" w:cs="Arial"/>
          <w:color w:val="000000"/>
          <w:sz w:val="22"/>
          <w:szCs w:val="22"/>
        </w:rPr>
        <w:t>ende,</w:t>
      </w:r>
      <w:r>
        <w:rPr>
          <w:rFonts w:ascii="Arial" w:eastAsia="Arial" w:hAnsi="Arial" w:cs="Arial"/>
          <w:color w:val="000000"/>
          <w:sz w:val="22"/>
          <w:szCs w:val="22"/>
        </w:rPr>
        <w:t xml:space="preserve"> s</w:t>
      </w:r>
      <w:r w:rsidR="009E73C1" w:rsidRPr="009E73C1">
        <w:rPr>
          <w:rFonts w:ascii="Arial" w:eastAsia="Arial" w:hAnsi="Arial" w:cs="Arial"/>
          <w:color w:val="000000"/>
          <w:sz w:val="22"/>
          <w:szCs w:val="22"/>
        </w:rPr>
        <w:t>e hace necesario desarrollar actividades encaminadas a materializar los objetivos estratégicos del Plan Nacional Integral de Bienestar al Aprendiz.</w:t>
      </w:r>
    </w:p>
    <w:p w14:paraId="329E7AD4" w14:textId="77777777" w:rsidR="00572AD5" w:rsidRDefault="00572AD5">
      <w:pPr>
        <w:jc w:val="both"/>
        <w:rPr>
          <w:rFonts w:ascii="Arial" w:eastAsia="Arial" w:hAnsi="Arial" w:cs="Arial"/>
          <w:color w:val="000000"/>
          <w:sz w:val="22"/>
          <w:szCs w:val="22"/>
        </w:rPr>
      </w:pPr>
    </w:p>
    <w:p w14:paraId="04DADE47" w14:textId="77777777" w:rsidR="00572AD5" w:rsidRDefault="00000000">
      <w:pPr>
        <w:numPr>
          <w:ilvl w:val="0"/>
          <w:numId w:val="27"/>
        </w:numPr>
        <w:pBdr>
          <w:top w:val="nil"/>
          <w:left w:val="nil"/>
          <w:bottom w:val="nil"/>
          <w:right w:val="nil"/>
          <w:between w:val="nil"/>
        </w:pBdr>
        <w:spacing w:after="200" w:line="276" w:lineRule="auto"/>
        <w:jc w:val="both"/>
        <w:rPr>
          <w:rFonts w:ascii="Arial" w:eastAsia="Arial" w:hAnsi="Arial" w:cs="Arial"/>
          <w:color w:val="000000"/>
          <w:sz w:val="22"/>
          <w:szCs w:val="22"/>
        </w:rPr>
      </w:pPr>
      <w:r>
        <w:rPr>
          <w:rFonts w:ascii="Arial" w:eastAsia="Arial" w:hAnsi="Arial" w:cs="Arial"/>
          <w:b/>
          <w:color w:val="000000"/>
          <w:sz w:val="22"/>
          <w:szCs w:val="22"/>
        </w:rPr>
        <w:t>CLASIFICADOR DE BIENES Y SERVICIOS (UNSPSC) PARA LA PRESENTE CONTRATACIÓN</w:t>
      </w:r>
    </w:p>
    <w:p w14:paraId="146EE13C" w14:textId="730A1FFD" w:rsidR="00B06534"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Dentro de la gestión de las acciones relacionadas para </w:t>
      </w:r>
      <w:r w:rsidR="00B06534">
        <w:rPr>
          <w:rFonts w:ascii="Arial" w:eastAsia="Arial" w:hAnsi="Arial" w:cs="Arial"/>
          <w:color w:val="000000"/>
          <w:sz w:val="22"/>
          <w:szCs w:val="22"/>
        </w:rPr>
        <w:t>mejorar y dotar las instalaciones</w:t>
      </w:r>
      <w:r w:rsidR="002F5AC7">
        <w:rPr>
          <w:rFonts w:ascii="Arial" w:eastAsia="Arial" w:hAnsi="Arial" w:cs="Arial"/>
          <w:color w:val="000000"/>
          <w:sz w:val="22"/>
          <w:szCs w:val="22"/>
        </w:rPr>
        <w:t xml:space="preserve"> del Centro</w:t>
      </w:r>
      <w:r w:rsidR="00B06534">
        <w:rPr>
          <w:rFonts w:ascii="Arial" w:eastAsia="Arial" w:hAnsi="Arial" w:cs="Arial"/>
          <w:color w:val="000000"/>
          <w:sz w:val="22"/>
          <w:szCs w:val="22"/>
        </w:rPr>
        <w:t xml:space="preserve"> como el gimnasio para el desarrollo de la cultura física, centro de convivencia y demás ambientes exteriores que requieren ser mejorados y modernizados para elevar la satisfacción y bienestar integral de los aprendices.</w:t>
      </w:r>
    </w:p>
    <w:p w14:paraId="6FFFE9E2" w14:textId="77777777" w:rsidR="00B06534" w:rsidRDefault="00B06534">
      <w:pPr>
        <w:jc w:val="both"/>
        <w:rPr>
          <w:rFonts w:ascii="Arial" w:eastAsia="Arial" w:hAnsi="Arial" w:cs="Arial"/>
          <w:color w:val="000000"/>
          <w:sz w:val="22"/>
          <w:szCs w:val="22"/>
        </w:rPr>
      </w:pPr>
    </w:p>
    <w:p w14:paraId="11325598" w14:textId="47BC81F4"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Razón por la cual se relacionan las especificaciones técnicas del objeto a contratar de acuerdo con los siguientes códigos del Clasificador de Bienes y Servicios:</w:t>
      </w:r>
    </w:p>
    <w:p w14:paraId="530A6AFB" w14:textId="77777777" w:rsidR="00572AD5" w:rsidRDefault="00572AD5">
      <w:pPr>
        <w:jc w:val="center"/>
        <w:rPr>
          <w:rFonts w:ascii="Arial" w:eastAsia="Arial" w:hAnsi="Arial" w:cs="Arial"/>
          <w:color w:val="000000"/>
          <w:sz w:val="22"/>
          <w:szCs w:val="22"/>
        </w:rPr>
      </w:pPr>
    </w:p>
    <w:p w14:paraId="3B7F2F30" w14:textId="77777777" w:rsidR="00D6411F" w:rsidRDefault="00D6411F">
      <w:pPr>
        <w:jc w:val="center"/>
        <w:rPr>
          <w:rFonts w:ascii="Arial" w:eastAsia="Arial" w:hAnsi="Arial" w:cs="Arial"/>
          <w:color w:val="000000"/>
          <w:sz w:val="22"/>
          <w:szCs w:val="22"/>
        </w:rPr>
      </w:pPr>
    </w:p>
    <w:p w14:paraId="1A7065DF" w14:textId="77777777" w:rsidR="00D6411F" w:rsidRDefault="00D6411F">
      <w:pPr>
        <w:jc w:val="center"/>
        <w:rPr>
          <w:rFonts w:ascii="Arial" w:eastAsia="Arial" w:hAnsi="Arial" w:cs="Arial"/>
          <w:color w:val="000000"/>
          <w:sz w:val="22"/>
          <w:szCs w:val="22"/>
        </w:rPr>
      </w:pPr>
    </w:p>
    <w:p w14:paraId="6B6C9CD9" w14:textId="77777777" w:rsidR="00D6411F" w:rsidRDefault="00D6411F">
      <w:pPr>
        <w:jc w:val="center"/>
        <w:rPr>
          <w:rFonts w:ascii="Arial" w:eastAsia="Arial" w:hAnsi="Arial" w:cs="Arial"/>
          <w:color w:val="000000"/>
          <w:sz w:val="22"/>
          <w:szCs w:val="22"/>
        </w:rPr>
      </w:pPr>
    </w:p>
    <w:p w14:paraId="23C5C643" w14:textId="77777777" w:rsidR="00D6411F" w:rsidRDefault="00D6411F">
      <w:pPr>
        <w:jc w:val="center"/>
        <w:rPr>
          <w:rFonts w:ascii="Arial" w:eastAsia="Arial" w:hAnsi="Arial" w:cs="Arial"/>
          <w:color w:val="000000"/>
          <w:sz w:val="22"/>
          <w:szCs w:val="22"/>
        </w:rPr>
      </w:pPr>
    </w:p>
    <w:p w14:paraId="29FB342C" w14:textId="77777777" w:rsidR="00D6411F" w:rsidRDefault="00D6411F">
      <w:pPr>
        <w:jc w:val="center"/>
        <w:rPr>
          <w:rFonts w:ascii="Arial" w:eastAsia="Arial" w:hAnsi="Arial" w:cs="Arial"/>
          <w:color w:val="000000"/>
          <w:sz w:val="22"/>
          <w:szCs w:val="22"/>
        </w:rPr>
      </w:pPr>
    </w:p>
    <w:p w14:paraId="51B6F2F4" w14:textId="77777777" w:rsidR="00572AD5" w:rsidRDefault="00000000">
      <w:pPr>
        <w:jc w:val="center"/>
        <w:rPr>
          <w:rFonts w:ascii="Arial" w:eastAsia="Arial" w:hAnsi="Arial" w:cs="Arial"/>
          <w:color w:val="000000"/>
          <w:sz w:val="22"/>
          <w:szCs w:val="22"/>
        </w:rPr>
      </w:pPr>
      <w:r>
        <w:rPr>
          <w:rFonts w:ascii="Arial" w:eastAsia="Arial" w:hAnsi="Arial" w:cs="Arial"/>
          <w:color w:val="000000"/>
          <w:sz w:val="22"/>
          <w:szCs w:val="22"/>
        </w:rPr>
        <w:lastRenderedPageBreak/>
        <w:t xml:space="preserve">UNSPSC- Decreto 1082 de 2015 </w:t>
      </w:r>
    </w:p>
    <w:p w14:paraId="72935753" w14:textId="77777777" w:rsidR="00572AD5" w:rsidRDefault="00572AD5">
      <w:pPr>
        <w:jc w:val="both"/>
        <w:rPr>
          <w:rFonts w:ascii="Arial" w:eastAsia="Arial" w:hAnsi="Arial" w:cs="Arial"/>
          <w:color w:val="000000"/>
          <w:sz w:val="22"/>
          <w:szCs w:val="22"/>
        </w:rPr>
      </w:pPr>
    </w:p>
    <w:tbl>
      <w:tblPr>
        <w:tblStyle w:val="TableNormal0"/>
        <w:tblW w:w="920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109"/>
        <w:gridCol w:w="1108"/>
        <w:gridCol w:w="5515"/>
      </w:tblGrid>
      <w:tr w:rsidR="002F5AC7" w14:paraId="175CE882" w14:textId="77777777" w:rsidTr="002F5AC7">
        <w:trPr>
          <w:trHeight w:val="340"/>
        </w:trPr>
        <w:tc>
          <w:tcPr>
            <w:tcW w:w="1476" w:type="dxa"/>
            <w:shd w:val="clear" w:color="auto" w:fill="C5D9F0"/>
          </w:tcPr>
          <w:p w14:paraId="5FF5058C" w14:textId="77777777" w:rsidR="002F5AC7" w:rsidRDefault="002F5AC7" w:rsidP="00025311">
            <w:pPr>
              <w:pStyle w:val="TableParagraph"/>
              <w:spacing w:before="43"/>
              <w:ind w:left="10"/>
              <w:rPr>
                <w:rFonts w:ascii="Arial"/>
                <w:b/>
              </w:rPr>
            </w:pPr>
            <w:bookmarkStart w:id="2" w:name="_a1apcj7fsakt" w:colFirst="0" w:colLast="0"/>
            <w:bookmarkEnd w:id="2"/>
            <w:r>
              <w:rPr>
                <w:rFonts w:ascii="Arial"/>
                <w:b/>
                <w:spacing w:val="-2"/>
              </w:rPr>
              <w:t>SEGMENTO</w:t>
            </w:r>
          </w:p>
        </w:tc>
        <w:tc>
          <w:tcPr>
            <w:tcW w:w="1109" w:type="dxa"/>
            <w:shd w:val="clear" w:color="auto" w:fill="C5D9F0"/>
          </w:tcPr>
          <w:p w14:paraId="55E2AEB0" w14:textId="77777777" w:rsidR="002F5AC7" w:rsidRDefault="002F5AC7" w:rsidP="00025311">
            <w:pPr>
              <w:pStyle w:val="TableParagraph"/>
              <w:spacing w:before="43"/>
              <w:ind w:left="4"/>
              <w:rPr>
                <w:rFonts w:ascii="Arial"/>
                <w:b/>
              </w:rPr>
            </w:pPr>
            <w:r>
              <w:rPr>
                <w:rFonts w:ascii="Arial"/>
                <w:b/>
                <w:spacing w:val="-2"/>
              </w:rPr>
              <w:t>FAMILIA</w:t>
            </w:r>
          </w:p>
        </w:tc>
        <w:tc>
          <w:tcPr>
            <w:tcW w:w="1108" w:type="dxa"/>
            <w:shd w:val="clear" w:color="auto" w:fill="C5D9F0"/>
          </w:tcPr>
          <w:p w14:paraId="7454862D" w14:textId="77777777" w:rsidR="002F5AC7" w:rsidRDefault="002F5AC7" w:rsidP="00025311">
            <w:pPr>
              <w:pStyle w:val="TableParagraph"/>
              <w:spacing w:before="43"/>
              <w:ind w:left="6"/>
              <w:rPr>
                <w:rFonts w:ascii="Arial"/>
                <w:b/>
              </w:rPr>
            </w:pPr>
            <w:r>
              <w:rPr>
                <w:rFonts w:ascii="Arial"/>
                <w:b/>
                <w:spacing w:val="-2"/>
              </w:rPr>
              <w:t>CLASES</w:t>
            </w:r>
          </w:p>
        </w:tc>
        <w:tc>
          <w:tcPr>
            <w:tcW w:w="5515" w:type="dxa"/>
            <w:shd w:val="clear" w:color="auto" w:fill="C5D9F0"/>
          </w:tcPr>
          <w:p w14:paraId="69AC704B" w14:textId="77777777" w:rsidR="002F5AC7" w:rsidRDefault="002F5AC7" w:rsidP="00025311">
            <w:pPr>
              <w:pStyle w:val="TableParagraph"/>
              <w:spacing w:before="43"/>
              <w:ind w:left="1762"/>
              <w:jc w:val="left"/>
              <w:rPr>
                <w:rFonts w:ascii="Arial"/>
                <w:b/>
              </w:rPr>
            </w:pPr>
            <w:r>
              <w:rPr>
                <w:rFonts w:ascii="Arial"/>
                <w:b/>
              </w:rPr>
              <w:t>Nombre</w:t>
            </w:r>
            <w:r>
              <w:rPr>
                <w:rFonts w:ascii="Arial"/>
                <w:b/>
                <w:spacing w:val="-5"/>
              </w:rPr>
              <w:t xml:space="preserve"> </w:t>
            </w:r>
            <w:r>
              <w:rPr>
                <w:rFonts w:ascii="Arial"/>
                <w:b/>
              </w:rPr>
              <w:t>-</w:t>
            </w:r>
            <w:r>
              <w:rPr>
                <w:rFonts w:ascii="Arial"/>
                <w:b/>
                <w:spacing w:val="-1"/>
              </w:rPr>
              <w:t xml:space="preserve"> </w:t>
            </w:r>
            <w:r>
              <w:rPr>
                <w:rFonts w:ascii="Arial"/>
                <w:b/>
                <w:spacing w:val="-2"/>
              </w:rPr>
              <w:t>Producto</w:t>
            </w:r>
          </w:p>
        </w:tc>
      </w:tr>
      <w:tr w:rsidR="002F5AC7" w14:paraId="2990FCA5" w14:textId="77777777" w:rsidTr="002F5AC7">
        <w:trPr>
          <w:trHeight w:val="506"/>
        </w:trPr>
        <w:tc>
          <w:tcPr>
            <w:tcW w:w="1476" w:type="dxa"/>
          </w:tcPr>
          <w:p w14:paraId="62506EFC" w14:textId="77777777" w:rsidR="002F5AC7" w:rsidRDefault="002F5AC7" w:rsidP="00025311">
            <w:pPr>
              <w:pStyle w:val="TableParagraph"/>
              <w:spacing w:before="124"/>
              <w:ind w:left="10" w:right="3"/>
            </w:pPr>
            <w:r>
              <w:rPr>
                <w:spacing w:val="-5"/>
              </w:rPr>
              <w:t>42</w:t>
            </w:r>
          </w:p>
        </w:tc>
        <w:tc>
          <w:tcPr>
            <w:tcW w:w="1109" w:type="dxa"/>
          </w:tcPr>
          <w:p w14:paraId="42BE9662" w14:textId="77777777" w:rsidR="002F5AC7" w:rsidRDefault="002F5AC7" w:rsidP="00025311">
            <w:pPr>
              <w:pStyle w:val="TableParagraph"/>
              <w:spacing w:before="124"/>
              <w:ind w:left="4"/>
            </w:pPr>
            <w:r>
              <w:rPr>
                <w:spacing w:val="-5"/>
              </w:rPr>
              <w:t>25</w:t>
            </w:r>
          </w:p>
        </w:tc>
        <w:tc>
          <w:tcPr>
            <w:tcW w:w="1108" w:type="dxa"/>
          </w:tcPr>
          <w:p w14:paraId="249C0977" w14:textId="77777777" w:rsidR="002F5AC7" w:rsidRDefault="002F5AC7" w:rsidP="00025311">
            <w:pPr>
              <w:pStyle w:val="TableParagraph"/>
              <w:spacing w:before="124"/>
              <w:ind w:left="6"/>
            </w:pPr>
            <w:r>
              <w:rPr>
                <w:spacing w:val="-5"/>
              </w:rPr>
              <w:t>17</w:t>
            </w:r>
          </w:p>
        </w:tc>
        <w:tc>
          <w:tcPr>
            <w:tcW w:w="5515" w:type="dxa"/>
          </w:tcPr>
          <w:p w14:paraId="1123E83C" w14:textId="77777777" w:rsidR="002F5AC7" w:rsidRDefault="002F5AC7" w:rsidP="00025311">
            <w:pPr>
              <w:pStyle w:val="TableParagraph"/>
              <w:spacing w:line="252" w:lineRule="exact"/>
              <w:ind w:left="108"/>
              <w:jc w:val="left"/>
            </w:pPr>
            <w:r>
              <w:t>Caminadoras</w:t>
            </w:r>
            <w:r>
              <w:rPr>
                <w:spacing w:val="-16"/>
              </w:rPr>
              <w:t xml:space="preserve"> </w:t>
            </w:r>
            <w:r>
              <w:t>o</w:t>
            </w:r>
            <w:r>
              <w:rPr>
                <w:spacing w:val="-15"/>
              </w:rPr>
              <w:t xml:space="preserve"> </w:t>
            </w:r>
            <w:r>
              <w:t>bicicletas</w:t>
            </w:r>
            <w:r>
              <w:rPr>
                <w:spacing w:val="-15"/>
              </w:rPr>
              <w:t xml:space="preserve"> </w:t>
            </w:r>
            <w:r>
              <w:t>o</w:t>
            </w:r>
            <w:r>
              <w:rPr>
                <w:spacing w:val="-16"/>
              </w:rPr>
              <w:t xml:space="preserve"> </w:t>
            </w:r>
            <w:r>
              <w:t>ejercitadoras</w:t>
            </w:r>
            <w:r>
              <w:rPr>
                <w:spacing w:val="-15"/>
              </w:rPr>
              <w:t xml:space="preserve"> </w:t>
            </w:r>
            <w:r>
              <w:t>de</w:t>
            </w:r>
            <w:r>
              <w:rPr>
                <w:spacing w:val="-15"/>
              </w:rPr>
              <w:t xml:space="preserve"> </w:t>
            </w:r>
            <w:r>
              <w:t>manera</w:t>
            </w:r>
            <w:r>
              <w:rPr>
                <w:spacing w:val="-15"/>
              </w:rPr>
              <w:t xml:space="preserve"> </w:t>
            </w:r>
            <w:r>
              <w:t xml:space="preserve">de </w:t>
            </w:r>
            <w:r>
              <w:rPr>
                <w:spacing w:val="-2"/>
              </w:rPr>
              <w:t>caminar</w:t>
            </w:r>
          </w:p>
        </w:tc>
      </w:tr>
      <w:tr w:rsidR="002F5AC7" w14:paraId="3D2FE59A" w14:textId="77777777" w:rsidTr="002F5AC7">
        <w:trPr>
          <w:trHeight w:val="338"/>
        </w:trPr>
        <w:tc>
          <w:tcPr>
            <w:tcW w:w="1476" w:type="dxa"/>
          </w:tcPr>
          <w:p w14:paraId="3A391E48" w14:textId="77777777" w:rsidR="002F5AC7" w:rsidRDefault="002F5AC7" w:rsidP="00025311">
            <w:pPr>
              <w:pStyle w:val="TableParagraph"/>
              <w:spacing w:before="43"/>
              <w:ind w:left="10" w:right="3"/>
            </w:pPr>
            <w:r>
              <w:rPr>
                <w:spacing w:val="-5"/>
              </w:rPr>
              <w:t>49</w:t>
            </w:r>
          </w:p>
        </w:tc>
        <w:tc>
          <w:tcPr>
            <w:tcW w:w="1109" w:type="dxa"/>
          </w:tcPr>
          <w:p w14:paraId="3C4B8FEA" w14:textId="77777777" w:rsidR="002F5AC7" w:rsidRDefault="002F5AC7" w:rsidP="00025311">
            <w:pPr>
              <w:pStyle w:val="TableParagraph"/>
              <w:spacing w:before="43"/>
              <w:ind w:left="4"/>
            </w:pPr>
            <w:r>
              <w:rPr>
                <w:spacing w:val="-5"/>
              </w:rPr>
              <w:t>20</w:t>
            </w:r>
          </w:p>
        </w:tc>
        <w:tc>
          <w:tcPr>
            <w:tcW w:w="1108" w:type="dxa"/>
          </w:tcPr>
          <w:p w14:paraId="39DCE318" w14:textId="77777777" w:rsidR="002F5AC7" w:rsidRDefault="002F5AC7" w:rsidP="00025311">
            <w:pPr>
              <w:pStyle w:val="TableParagraph"/>
              <w:spacing w:before="43"/>
              <w:ind w:left="6"/>
            </w:pPr>
            <w:r>
              <w:rPr>
                <w:spacing w:val="-5"/>
              </w:rPr>
              <w:t>15</w:t>
            </w:r>
          </w:p>
        </w:tc>
        <w:tc>
          <w:tcPr>
            <w:tcW w:w="5515" w:type="dxa"/>
          </w:tcPr>
          <w:p w14:paraId="6A00D673" w14:textId="77777777" w:rsidR="002F5AC7" w:rsidRDefault="002F5AC7" w:rsidP="00025311">
            <w:pPr>
              <w:pStyle w:val="TableParagraph"/>
              <w:spacing w:before="43"/>
              <w:ind w:left="108"/>
              <w:jc w:val="left"/>
            </w:pPr>
            <w:r>
              <w:t>Bicicletas</w:t>
            </w:r>
            <w:r>
              <w:rPr>
                <w:spacing w:val="-8"/>
              </w:rPr>
              <w:t xml:space="preserve"> </w:t>
            </w:r>
            <w:r>
              <w:rPr>
                <w:spacing w:val="-2"/>
              </w:rPr>
              <w:t>estáticas</w:t>
            </w:r>
          </w:p>
        </w:tc>
      </w:tr>
      <w:tr w:rsidR="002F5AC7" w14:paraId="639409B6" w14:textId="77777777" w:rsidTr="002F5AC7">
        <w:trPr>
          <w:trHeight w:val="340"/>
        </w:trPr>
        <w:tc>
          <w:tcPr>
            <w:tcW w:w="1476" w:type="dxa"/>
          </w:tcPr>
          <w:p w14:paraId="71880708" w14:textId="77777777" w:rsidR="002F5AC7" w:rsidRDefault="002F5AC7" w:rsidP="00025311">
            <w:pPr>
              <w:pStyle w:val="TableParagraph"/>
              <w:spacing w:before="45"/>
              <w:ind w:left="10" w:right="3"/>
            </w:pPr>
            <w:r>
              <w:rPr>
                <w:spacing w:val="-5"/>
              </w:rPr>
              <w:t>95</w:t>
            </w:r>
          </w:p>
        </w:tc>
        <w:tc>
          <w:tcPr>
            <w:tcW w:w="1109" w:type="dxa"/>
          </w:tcPr>
          <w:p w14:paraId="0A829FB1" w14:textId="77777777" w:rsidR="002F5AC7" w:rsidRDefault="002F5AC7" w:rsidP="00025311">
            <w:pPr>
              <w:pStyle w:val="TableParagraph"/>
              <w:spacing w:before="45"/>
              <w:ind w:left="4"/>
            </w:pPr>
            <w:r>
              <w:rPr>
                <w:spacing w:val="-5"/>
              </w:rPr>
              <w:t>12</w:t>
            </w:r>
          </w:p>
        </w:tc>
        <w:tc>
          <w:tcPr>
            <w:tcW w:w="1108" w:type="dxa"/>
          </w:tcPr>
          <w:p w14:paraId="5034FE6D" w14:textId="77777777" w:rsidR="002F5AC7" w:rsidRDefault="002F5AC7" w:rsidP="00025311">
            <w:pPr>
              <w:pStyle w:val="TableParagraph"/>
              <w:spacing w:before="45"/>
              <w:ind w:left="6"/>
            </w:pPr>
            <w:r>
              <w:rPr>
                <w:spacing w:val="-5"/>
              </w:rPr>
              <w:t>23</w:t>
            </w:r>
          </w:p>
        </w:tc>
        <w:tc>
          <w:tcPr>
            <w:tcW w:w="5515" w:type="dxa"/>
          </w:tcPr>
          <w:p w14:paraId="1C116D1F" w14:textId="77777777" w:rsidR="002F5AC7" w:rsidRDefault="002F5AC7" w:rsidP="00025311">
            <w:pPr>
              <w:pStyle w:val="TableParagraph"/>
              <w:spacing w:before="45"/>
              <w:ind w:left="108"/>
              <w:jc w:val="left"/>
            </w:pPr>
            <w:r>
              <w:rPr>
                <w:spacing w:val="-2"/>
              </w:rPr>
              <w:t>Gimnasio</w:t>
            </w:r>
          </w:p>
        </w:tc>
      </w:tr>
      <w:tr w:rsidR="002F5AC7" w14:paraId="7E232F09" w14:textId="77777777" w:rsidTr="002F5AC7">
        <w:trPr>
          <w:trHeight w:val="340"/>
        </w:trPr>
        <w:tc>
          <w:tcPr>
            <w:tcW w:w="1476" w:type="dxa"/>
          </w:tcPr>
          <w:p w14:paraId="414587F3" w14:textId="77777777" w:rsidR="002F5AC7" w:rsidRDefault="002F5AC7" w:rsidP="00025311">
            <w:pPr>
              <w:pStyle w:val="TableParagraph"/>
              <w:spacing w:before="45"/>
              <w:ind w:left="10" w:right="3"/>
            </w:pPr>
            <w:r>
              <w:rPr>
                <w:spacing w:val="-5"/>
              </w:rPr>
              <w:t>30</w:t>
            </w:r>
          </w:p>
        </w:tc>
        <w:tc>
          <w:tcPr>
            <w:tcW w:w="1109" w:type="dxa"/>
          </w:tcPr>
          <w:p w14:paraId="237D4048" w14:textId="77777777" w:rsidR="002F5AC7" w:rsidRDefault="002F5AC7" w:rsidP="00025311">
            <w:pPr>
              <w:pStyle w:val="TableParagraph"/>
              <w:spacing w:before="45"/>
              <w:ind w:left="4"/>
            </w:pPr>
            <w:r>
              <w:rPr>
                <w:spacing w:val="-5"/>
              </w:rPr>
              <w:t>16</w:t>
            </w:r>
          </w:p>
        </w:tc>
        <w:tc>
          <w:tcPr>
            <w:tcW w:w="1108" w:type="dxa"/>
          </w:tcPr>
          <w:p w14:paraId="1717DD2E" w14:textId="77777777" w:rsidR="002F5AC7" w:rsidRDefault="002F5AC7" w:rsidP="00025311">
            <w:pPr>
              <w:pStyle w:val="TableParagraph"/>
              <w:spacing w:before="45"/>
              <w:ind w:left="6"/>
            </w:pPr>
            <w:r>
              <w:rPr>
                <w:spacing w:val="-5"/>
              </w:rPr>
              <w:t>17</w:t>
            </w:r>
          </w:p>
        </w:tc>
        <w:tc>
          <w:tcPr>
            <w:tcW w:w="5515" w:type="dxa"/>
          </w:tcPr>
          <w:p w14:paraId="098CEB15" w14:textId="77777777" w:rsidR="002F5AC7" w:rsidRDefault="002F5AC7" w:rsidP="00025311">
            <w:pPr>
              <w:pStyle w:val="TableParagraph"/>
              <w:spacing w:before="45"/>
              <w:ind w:left="108"/>
              <w:jc w:val="left"/>
            </w:pPr>
            <w:r>
              <w:rPr>
                <w:color w:val="212121"/>
              </w:rPr>
              <w:t>Pisos</w:t>
            </w:r>
            <w:r>
              <w:rPr>
                <w:color w:val="212121"/>
                <w:spacing w:val="-2"/>
              </w:rPr>
              <w:t xml:space="preserve"> </w:t>
            </w:r>
            <w:r>
              <w:rPr>
                <w:color w:val="212121"/>
              </w:rPr>
              <w:t>de</w:t>
            </w:r>
            <w:r>
              <w:rPr>
                <w:color w:val="212121"/>
                <w:spacing w:val="-2"/>
              </w:rPr>
              <w:t xml:space="preserve"> caucho</w:t>
            </w:r>
          </w:p>
        </w:tc>
      </w:tr>
      <w:tr w:rsidR="002F5AC7" w14:paraId="497B6A86" w14:textId="77777777" w:rsidTr="002F5AC7">
        <w:trPr>
          <w:trHeight w:val="340"/>
        </w:trPr>
        <w:tc>
          <w:tcPr>
            <w:tcW w:w="1476" w:type="dxa"/>
          </w:tcPr>
          <w:p w14:paraId="26D06521" w14:textId="77777777" w:rsidR="002F5AC7" w:rsidRDefault="002F5AC7" w:rsidP="00025311">
            <w:pPr>
              <w:pStyle w:val="TableParagraph"/>
              <w:spacing w:before="43"/>
              <w:ind w:left="10" w:right="3"/>
            </w:pPr>
            <w:r>
              <w:rPr>
                <w:spacing w:val="-5"/>
              </w:rPr>
              <w:t>49</w:t>
            </w:r>
          </w:p>
        </w:tc>
        <w:tc>
          <w:tcPr>
            <w:tcW w:w="1109" w:type="dxa"/>
          </w:tcPr>
          <w:p w14:paraId="23C47C61" w14:textId="77777777" w:rsidR="002F5AC7" w:rsidRDefault="002F5AC7" w:rsidP="00025311">
            <w:pPr>
              <w:pStyle w:val="TableParagraph"/>
              <w:spacing w:before="43"/>
              <w:ind w:left="4"/>
            </w:pPr>
            <w:r>
              <w:rPr>
                <w:spacing w:val="-5"/>
              </w:rPr>
              <w:t>20</w:t>
            </w:r>
          </w:p>
        </w:tc>
        <w:tc>
          <w:tcPr>
            <w:tcW w:w="1108" w:type="dxa"/>
          </w:tcPr>
          <w:p w14:paraId="43E46377" w14:textId="77777777" w:rsidR="002F5AC7" w:rsidRDefault="002F5AC7" w:rsidP="00025311">
            <w:pPr>
              <w:pStyle w:val="TableParagraph"/>
              <w:spacing w:before="43"/>
              <w:ind w:left="6"/>
            </w:pPr>
            <w:r>
              <w:rPr>
                <w:spacing w:val="-5"/>
              </w:rPr>
              <w:t>16</w:t>
            </w:r>
          </w:p>
        </w:tc>
        <w:tc>
          <w:tcPr>
            <w:tcW w:w="5515" w:type="dxa"/>
          </w:tcPr>
          <w:p w14:paraId="2BC897FC" w14:textId="77777777" w:rsidR="002F5AC7" w:rsidRDefault="002F5AC7" w:rsidP="00025311">
            <w:pPr>
              <w:pStyle w:val="TableParagraph"/>
              <w:spacing w:before="43"/>
              <w:ind w:left="108"/>
              <w:jc w:val="left"/>
            </w:pPr>
            <w:r>
              <w:rPr>
                <w:color w:val="212121"/>
              </w:rPr>
              <w:t>Multi</w:t>
            </w:r>
            <w:r>
              <w:rPr>
                <w:color w:val="212121"/>
                <w:spacing w:val="-5"/>
              </w:rPr>
              <w:t xml:space="preserve"> </w:t>
            </w:r>
            <w:r>
              <w:rPr>
                <w:color w:val="212121"/>
                <w:spacing w:val="-2"/>
              </w:rPr>
              <w:t>gimnasios</w:t>
            </w:r>
          </w:p>
        </w:tc>
      </w:tr>
      <w:tr w:rsidR="002F5AC7" w14:paraId="3576C2F7" w14:textId="77777777" w:rsidTr="002F5AC7">
        <w:trPr>
          <w:trHeight w:val="340"/>
        </w:trPr>
        <w:tc>
          <w:tcPr>
            <w:tcW w:w="1476" w:type="dxa"/>
          </w:tcPr>
          <w:p w14:paraId="1EB27790" w14:textId="77777777" w:rsidR="002F5AC7" w:rsidRDefault="002F5AC7" w:rsidP="00025311">
            <w:pPr>
              <w:pStyle w:val="TableParagraph"/>
              <w:spacing w:before="43"/>
              <w:ind w:left="10" w:right="3"/>
            </w:pPr>
            <w:r>
              <w:rPr>
                <w:spacing w:val="-5"/>
              </w:rPr>
              <w:t>49</w:t>
            </w:r>
          </w:p>
        </w:tc>
        <w:tc>
          <w:tcPr>
            <w:tcW w:w="1109" w:type="dxa"/>
          </w:tcPr>
          <w:p w14:paraId="3FA1A3D5" w14:textId="77777777" w:rsidR="002F5AC7" w:rsidRDefault="002F5AC7" w:rsidP="00025311">
            <w:pPr>
              <w:pStyle w:val="TableParagraph"/>
              <w:spacing w:before="43"/>
              <w:ind w:left="4"/>
            </w:pPr>
            <w:r>
              <w:rPr>
                <w:spacing w:val="-5"/>
              </w:rPr>
              <w:t>20</w:t>
            </w:r>
          </w:p>
        </w:tc>
        <w:tc>
          <w:tcPr>
            <w:tcW w:w="1108" w:type="dxa"/>
          </w:tcPr>
          <w:p w14:paraId="3716F806" w14:textId="77777777" w:rsidR="002F5AC7" w:rsidRDefault="002F5AC7" w:rsidP="00025311">
            <w:pPr>
              <w:pStyle w:val="TableParagraph"/>
              <w:spacing w:before="43"/>
              <w:ind w:left="6"/>
            </w:pPr>
            <w:r>
              <w:rPr>
                <w:spacing w:val="-5"/>
              </w:rPr>
              <w:t>16</w:t>
            </w:r>
          </w:p>
        </w:tc>
        <w:tc>
          <w:tcPr>
            <w:tcW w:w="5515" w:type="dxa"/>
          </w:tcPr>
          <w:p w14:paraId="0735C943" w14:textId="77777777" w:rsidR="002F5AC7" w:rsidRDefault="002F5AC7" w:rsidP="00025311">
            <w:pPr>
              <w:pStyle w:val="TableParagraph"/>
              <w:spacing w:before="43"/>
              <w:ind w:left="108"/>
              <w:jc w:val="left"/>
            </w:pPr>
            <w:r>
              <w:rPr>
                <w:color w:val="212121"/>
              </w:rPr>
              <w:t>Bancos</w:t>
            </w:r>
            <w:r>
              <w:rPr>
                <w:color w:val="212121"/>
                <w:spacing w:val="-6"/>
              </w:rPr>
              <w:t xml:space="preserve"> </w:t>
            </w:r>
            <w:r>
              <w:rPr>
                <w:color w:val="212121"/>
              </w:rPr>
              <w:t>o</w:t>
            </w:r>
            <w:r>
              <w:rPr>
                <w:color w:val="212121"/>
                <w:spacing w:val="-3"/>
              </w:rPr>
              <w:t xml:space="preserve"> </w:t>
            </w:r>
            <w:r>
              <w:rPr>
                <w:color w:val="212121"/>
              </w:rPr>
              <w:t>estantes</w:t>
            </w:r>
            <w:r>
              <w:rPr>
                <w:color w:val="212121"/>
                <w:spacing w:val="-4"/>
              </w:rPr>
              <w:t xml:space="preserve"> </w:t>
            </w:r>
            <w:r>
              <w:rPr>
                <w:color w:val="212121"/>
              </w:rPr>
              <w:t>para</w:t>
            </w:r>
            <w:r>
              <w:rPr>
                <w:color w:val="212121"/>
                <w:spacing w:val="-5"/>
              </w:rPr>
              <w:t xml:space="preserve"> </w:t>
            </w:r>
            <w:r>
              <w:rPr>
                <w:color w:val="212121"/>
                <w:spacing w:val="-2"/>
              </w:rPr>
              <w:t>pesas</w:t>
            </w:r>
          </w:p>
        </w:tc>
      </w:tr>
      <w:tr w:rsidR="002F5AC7" w14:paraId="1F3A524F" w14:textId="77777777" w:rsidTr="002F5AC7">
        <w:trPr>
          <w:trHeight w:val="340"/>
        </w:trPr>
        <w:tc>
          <w:tcPr>
            <w:tcW w:w="1476" w:type="dxa"/>
          </w:tcPr>
          <w:p w14:paraId="28225D57" w14:textId="77777777" w:rsidR="002F5AC7" w:rsidRDefault="002F5AC7" w:rsidP="00025311">
            <w:pPr>
              <w:pStyle w:val="TableParagraph"/>
              <w:spacing w:before="43"/>
              <w:ind w:left="10" w:right="3"/>
            </w:pPr>
            <w:r>
              <w:rPr>
                <w:spacing w:val="-5"/>
              </w:rPr>
              <w:t>49</w:t>
            </w:r>
          </w:p>
        </w:tc>
        <w:tc>
          <w:tcPr>
            <w:tcW w:w="1109" w:type="dxa"/>
          </w:tcPr>
          <w:p w14:paraId="4963A3C1" w14:textId="77777777" w:rsidR="002F5AC7" w:rsidRDefault="002F5AC7" w:rsidP="00025311">
            <w:pPr>
              <w:pStyle w:val="TableParagraph"/>
              <w:spacing w:before="43"/>
              <w:ind w:left="4"/>
            </w:pPr>
            <w:r>
              <w:rPr>
                <w:spacing w:val="-5"/>
              </w:rPr>
              <w:t>20</w:t>
            </w:r>
          </w:p>
        </w:tc>
        <w:tc>
          <w:tcPr>
            <w:tcW w:w="1108" w:type="dxa"/>
          </w:tcPr>
          <w:p w14:paraId="0E8DF217" w14:textId="77777777" w:rsidR="002F5AC7" w:rsidRDefault="002F5AC7" w:rsidP="00025311">
            <w:pPr>
              <w:pStyle w:val="TableParagraph"/>
              <w:spacing w:before="43"/>
              <w:ind w:left="6"/>
            </w:pPr>
            <w:r>
              <w:rPr>
                <w:spacing w:val="-5"/>
              </w:rPr>
              <w:t>15</w:t>
            </w:r>
          </w:p>
        </w:tc>
        <w:tc>
          <w:tcPr>
            <w:tcW w:w="5515" w:type="dxa"/>
          </w:tcPr>
          <w:p w14:paraId="768D2110" w14:textId="77777777" w:rsidR="002F5AC7" w:rsidRDefault="002F5AC7" w:rsidP="00025311">
            <w:pPr>
              <w:pStyle w:val="TableParagraph"/>
              <w:spacing w:before="43"/>
              <w:ind w:left="108"/>
              <w:jc w:val="left"/>
            </w:pPr>
            <w:r>
              <w:t>Bicicletas</w:t>
            </w:r>
            <w:r>
              <w:rPr>
                <w:spacing w:val="-10"/>
              </w:rPr>
              <w:t xml:space="preserve"> </w:t>
            </w:r>
            <w:r>
              <w:rPr>
                <w:spacing w:val="-2"/>
              </w:rPr>
              <w:t>elípticas</w:t>
            </w:r>
          </w:p>
        </w:tc>
      </w:tr>
      <w:tr w:rsidR="002F5AC7" w14:paraId="66C44792" w14:textId="77777777" w:rsidTr="002F5AC7">
        <w:trPr>
          <w:trHeight w:val="338"/>
        </w:trPr>
        <w:tc>
          <w:tcPr>
            <w:tcW w:w="1476" w:type="dxa"/>
          </w:tcPr>
          <w:p w14:paraId="1B745EF8" w14:textId="77777777" w:rsidR="002F5AC7" w:rsidRDefault="002F5AC7" w:rsidP="00025311">
            <w:pPr>
              <w:pStyle w:val="TableParagraph"/>
              <w:spacing w:before="43"/>
              <w:ind w:left="10" w:right="3"/>
            </w:pPr>
            <w:r>
              <w:rPr>
                <w:spacing w:val="-5"/>
              </w:rPr>
              <w:t>49</w:t>
            </w:r>
          </w:p>
        </w:tc>
        <w:tc>
          <w:tcPr>
            <w:tcW w:w="1109" w:type="dxa"/>
          </w:tcPr>
          <w:p w14:paraId="5A6C0165" w14:textId="77777777" w:rsidR="002F5AC7" w:rsidRDefault="002F5AC7" w:rsidP="00025311">
            <w:pPr>
              <w:pStyle w:val="TableParagraph"/>
              <w:spacing w:before="43"/>
              <w:ind w:left="4"/>
            </w:pPr>
            <w:r>
              <w:rPr>
                <w:spacing w:val="-5"/>
              </w:rPr>
              <w:t>20</w:t>
            </w:r>
          </w:p>
        </w:tc>
        <w:tc>
          <w:tcPr>
            <w:tcW w:w="1108" w:type="dxa"/>
          </w:tcPr>
          <w:p w14:paraId="7C7E6D75" w14:textId="77777777" w:rsidR="002F5AC7" w:rsidRDefault="002F5AC7" w:rsidP="00025311">
            <w:pPr>
              <w:pStyle w:val="TableParagraph"/>
              <w:spacing w:before="43"/>
              <w:ind w:left="6"/>
            </w:pPr>
            <w:r>
              <w:rPr>
                <w:spacing w:val="-5"/>
              </w:rPr>
              <w:t>15</w:t>
            </w:r>
          </w:p>
        </w:tc>
        <w:tc>
          <w:tcPr>
            <w:tcW w:w="5515" w:type="dxa"/>
          </w:tcPr>
          <w:p w14:paraId="193A25AE" w14:textId="77777777" w:rsidR="002F5AC7" w:rsidRDefault="002F5AC7" w:rsidP="00025311">
            <w:pPr>
              <w:pStyle w:val="TableParagraph"/>
              <w:spacing w:before="43"/>
              <w:ind w:left="108"/>
              <w:jc w:val="left"/>
            </w:pPr>
            <w:r>
              <w:rPr>
                <w:color w:val="212121"/>
              </w:rPr>
              <w:t>Escaladores</w:t>
            </w:r>
            <w:r>
              <w:rPr>
                <w:color w:val="212121"/>
                <w:spacing w:val="-4"/>
              </w:rPr>
              <w:t xml:space="preserve"> </w:t>
            </w:r>
            <w:r>
              <w:rPr>
                <w:color w:val="212121"/>
              </w:rPr>
              <w:t>de</w:t>
            </w:r>
            <w:r>
              <w:rPr>
                <w:color w:val="212121"/>
                <w:spacing w:val="-6"/>
              </w:rPr>
              <w:t xml:space="preserve"> </w:t>
            </w:r>
            <w:r>
              <w:rPr>
                <w:color w:val="212121"/>
                <w:spacing w:val="-2"/>
              </w:rPr>
              <w:t>escaleras</w:t>
            </w:r>
          </w:p>
        </w:tc>
      </w:tr>
      <w:tr w:rsidR="002F5AC7" w14:paraId="18382B1C" w14:textId="77777777" w:rsidTr="002F5AC7">
        <w:trPr>
          <w:trHeight w:val="340"/>
        </w:trPr>
        <w:tc>
          <w:tcPr>
            <w:tcW w:w="1476" w:type="dxa"/>
          </w:tcPr>
          <w:p w14:paraId="12FA9132" w14:textId="77777777" w:rsidR="002F5AC7" w:rsidRDefault="002F5AC7" w:rsidP="00025311">
            <w:pPr>
              <w:pStyle w:val="TableParagraph"/>
              <w:spacing w:before="45"/>
              <w:ind w:left="10" w:right="3"/>
            </w:pPr>
            <w:r>
              <w:rPr>
                <w:spacing w:val="-5"/>
              </w:rPr>
              <w:t>49</w:t>
            </w:r>
          </w:p>
        </w:tc>
        <w:tc>
          <w:tcPr>
            <w:tcW w:w="1109" w:type="dxa"/>
          </w:tcPr>
          <w:p w14:paraId="31A0E6E2" w14:textId="77777777" w:rsidR="002F5AC7" w:rsidRDefault="002F5AC7" w:rsidP="00025311">
            <w:pPr>
              <w:pStyle w:val="TableParagraph"/>
              <w:spacing w:before="45"/>
              <w:ind w:left="4"/>
            </w:pPr>
            <w:r>
              <w:rPr>
                <w:spacing w:val="-5"/>
              </w:rPr>
              <w:t>20</w:t>
            </w:r>
          </w:p>
        </w:tc>
        <w:tc>
          <w:tcPr>
            <w:tcW w:w="1108" w:type="dxa"/>
          </w:tcPr>
          <w:p w14:paraId="04C63D07" w14:textId="77777777" w:rsidR="002F5AC7" w:rsidRDefault="002F5AC7" w:rsidP="00025311">
            <w:pPr>
              <w:pStyle w:val="TableParagraph"/>
              <w:spacing w:before="45"/>
              <w:ind w:left="6"/>
            </w:pPr>
            <w:r>
              <w:rPr>
                <w:spacing w:val="-5"/>
              </w:rPr>
              <w:t>16</w:t>
            </w:r>
          </w:p>
        </w:tc>
        <w:tc>
          <w:tcPr>
            <w:tcW w:w="5515" w:type="dxa"/>
          </w:tcPr>
          <w:p w14:paraId="441FEF9D" w14:textId="77777777" w:rsidR="002F5AC7" w:rsidRDefault="002F5AC7" w:rsidP="00025311">
            <w:pPr>
              <w:pStyle w:val="TableParagraph"/>
              <w:spacing w:before="45"/>
              <w:ind w:left="108"/>
              <w:jc w:val="left"/>
            </w:pPr>
            <w:r>
              <w:rPr>
                <w:color w:val="212121"/>
              </w:rPr>
              <w:t>Pesas</w:t>
            </w:r>
            <w:r>
              <w:rPr>
                <w:color w:val="212121"/>
                <w:spacing w:val="-2"/>
              </w:rPr>
              <w:t xml:space="preserve"> </w:t>
            </w:r>
            <w:r>
              <w:rPr>
                <w:color w:val="212121"/>
              </w:rPr>
              <w:t>de</w:t>
            </w:r>
            <w:r>
              <w:rPr>
                <w:color w:val="212121"/>
                <w:spacing w:val="-1"/>
              </w:rPr>
              <w:t xml:space="preserve"> </w:t>
            </w:r>
            <w:r>
              <w:rPr>
                <w:color w:val="212121"/>
                <w:spacing w:val="-2"/>
              </w:rPr>
              <w:t>entrenamiento</w:t>
            </w:r>
          </w:p>
        </w:tc>
      </w:tr>
      <w:tr w:rsidR="002F5AC7" w14:paraId="1AFFE77A" w14:textId="77777777" w:rsidTr="002F5AC7">
        <w:trPr>
          <w:trHeight w:val="340"/>
        </w:trPr>
        <w:tc>
          <w:tcPr>
            <w:tcW w:w="1476" w:type="dxa"/>
          </w:tcPr>
          <w:p w14:paraId="3DDA992E" w14:textId="77777777" w:rsidR="002F5AC7" w:rsidRDefault="002F5AC7" w:rsidP="00025311">
            <w:pPr>
              <w:pStyle w:val="TableParagraph"/>
              <w:spacing w:before="45"/>
              <w:ind w:left="10" w:right="3"/>
            </w:pPr>
            <w:r>
              <w:rPr>
                <w:spacing w:val="-5"/>
              </w:rPr>
              <w:t>41</w:t>
            </w:r>
          </w:p>
        </w:tc>
        <w:tc>
          <w:tcPr>
            <w:tcW w:w="1109" w:type="dxa"/>
          </w:tcPr>
          <w:p w14:paraId="0633428C" w14:textId="77777777" w:rsidR="002F5AC7" w:rsidRDefault="002F5AC7" w:rsidP="00025311">
            <w:pPr>
              <w:pStyle w:val="TableParagraph"/>
              <w:spacing w:before="45"/>
              <w:ind w:left="4"/>
            </w:pPr>
            <w:r>
              <w:rPr>
                <w:spacing w:val="-5"/>
              </w:rPr>
              <w:t>11</w:t>
            </w:r>
          </w:p>
        </w:tc>
        <w:tc>
          <w:tcPr>
            <w:tcW w:w="1108" w:type="dxa"/>
          </w:tcPr>
          <w:p w14:paraId="778C9740" w14:textId="77777777" w:rsidR="002F5AC7" w:rsidRDefault="002F5AC7" w:rsidP="00025311">
            <w:pPr>
              <w:pStyle w:val="TableParagraph"/>
              <w:spacing w:before="45"/>
              <w:ind w:left="6"/>
            </w:pPr>
            <w:r>
              <w:rPr>
                <w:spacing w:val="-5"/>
              </w:rPr>
              <w:t>19</w:t>
            </w:r>
          </w:p>
        </w:tc>
        <w:tc>
          <w:tcPr>
            <w:tcW w:w="5515" w:type="dxa"/>
          </w:tcPr>
          <w:p w14:paraId="67935A66" w14:textId="77777777" w:rsidR="002F5AC7" w:rsidRDefault="002F5AC7" w:rsidP="00025311">
            <w:pPr>
              <w:pStyle w:val="TableParagraph"/>
              <w:spacing w:before="45"/>
              <w:ind w:left="108"/>
              <w:jc w:val="left"/>
            </w:pPr>
            <w:r>
              <w:rPr>
                <w:spacing w:val="-2"/>
              </w:rPr>
              <w:t>Cronómetro</w:t>
            </w:r>
          </w:p>
        </w:tc>
      </w:tr>
      <w:tr w:rsidR="002F5AC7" w14:paraId="384309CE" w14:textId="77777777" w:rsidTr="002F5AC7">
        <w:trPr>
          <w:trHeight w:val="340"/>
        </w:trPr>
        <w:tc>
          <w:tcPr>
            <w:tcW w:w="1476" w:type="dxa"/>
          </w:tcPr>
          <w:p w14:paraId="666006CA" w14:textId="77777777" w:rsidR="002F5AC7" w:rsidRDefault="002F5AC7" w:rsidP="00025311">
            <w:pPr>
              <w:pStyle w:val="TableParagraph"/>
              <w:spacing w:before="43"/>
              <w:ind w:left="10" w:right="3"/>
            </w:pPr>
            <w:r>
              <w:rPr>
                <w:spacing w:val="-5"/>
              </w:rPr>
              <w:t>56</w:t>
            </w:r>
          </w:p>
        </w:tc>
        <w:tc>
          <w:tcPr>
            <w:tcW w:w="1109" w:type="dxa"/>
          </w:tcPr>
          <w:p w14:paraId="0CF15A90" w14:textId="77777777" w:rsidR="002F5AC7" w:rsidRDefault="002F5AC7" w:rsidP="00025311">
            <w:pPr>
              <w:pStyle w:val="TableParagraph"/>
              <w:spacing w:before="43"/>
              <w:ind w:left="4"/>
            </w:pPr>
            <w:r>
              <w:rPr>
                <w:spacing w:val="-5"/>
              </w:rPr>
              <w:t>10</w:t>
            </w:r>
          </w:p>
        </w:tc>
        <w:tc>
          <w:tcPr>
            <w:tcW w:w="1108" w:type="dxa"/>
          </w:tcPr>
          <w:p w14:paraId="222BFE5C" w14:textId="77777777" w:rsidR="002F5AC7" w:rsidRDefault="002F5AC7" w:rsidP="00025311">
            <w:pPr>
              <w:pStyle w:val="TableParagraph"/>
              <w:spacing w:before="43"/>
              <w:ind w:left="6"/>
            </w:pPr>
            <w:r>
              <w:rPr>
                <w:spacing w:val="-5"/>
              </w:rPr>
              <w:t>15</w:t>
            </w:r>
          </w:p>
        </w:tc>
        <w:tc>
          <w:tcPr>
            <w:tcW w:w="5515" w:type="dxa"/>
          </w:tcPr>
          <w:p w14:paraId="0CC9E42B" w14:textId="77777777" w:rsidR="002F5AC7" w:rsidRDefault="002F5AC7" w:rsidP="00025311">
            <w:pPr>
              <w:pStyle w:val="TableParagraph"/>
              <w:spacing w:before="43"/>
              <w:ind w:left="108"/>
              <w:jc w:val="left"/>
            </w:pPr>
            <w:r>
              <w:t>Casilleros</w:t>
            </w:r>
            <w:r>
              <w:rPr>
                <w:spacing w:val="-9"/>
              </w:rPr>
              <w:t xml:space="preserve"> </w:t>
            </w:r>
            <w:r>
              <w:rPr>
                <w:spacing w:val="-2"/>
              </w:rPr>
              <w:t>("lockers")</w:t>
            </w:r>
          </w:p>
        </w:tc>
      </w:tr>
      <w:tr w:rsidR="002F5AC7" w14:paraId="5B5D3549" w14:textId="77777777" w:rsidTr="002F5AC7">
        <w:trPr>
          <w:trHeight w:val="340"/>
        </w:trPr>
        <w:tc>
          <w:tcPr>
            <w:tcW w:w="1476" w:type="dxa"/>
          </w:tcPr>
          <w:p w14:paraId="7EDC08E9" w14:textId="77777777" w:rsidR="002F5AC7" w:rsidRDefault="002F5AC7" w:rsidP="00025311">
            <w:pPr>
              <w:pStyle w:val="TableParagraph"/>
              <w:spacing w:before="43"/>
              <w:ind w:left="10" w:right="3"/>
            </w:pPr>
            <w:r>
              <w:rPr>
                <w:spacing w:val="-5"/>
              </w:rPr>
              <w:t>56</w:t>
            </w:r>
          </w:p>
        </w:tc>
        <w:tc>
          <w:tcPr>
            <w:tcW w:w="1109" w:type="dxa"/>
          </w:tcPr>
          <w:p w14:paraId="5A4ED41F" w14:textId="77777777" w:rsidR="002F5AC7" w:rsidRDefault="002F5AC7" w:rsidP="00025311">
            <w:pPr>
              <w:pStyle w:val="TableParagraph"/>
              <w:spacing w:before="43"/>
              <w:ind w:left="4"/>
            </w:pPr>
            <w:r>
              <w:rPr>
                <w:spacing w:val="-5"/>
              </w:rPr>
              <w:t>10</w:t>
            </w:r>
          </w:p>
        </w:tc>
        <w:tc>
          <w:tcPr>
            <w:tcW w:w="1108" w:type="dxa"/>
          </w:tcPr>
          <w:p w14:paraId="1D2C7E4F" w14:textId="77777777" w:rsidR="002F5AC7" w:rsidRDefault="002F5AC7" w:rsidP="00025311">
            <w:pPr>
              <w:pStyle w:val="TableParagraph"/>
              <w:spacing w:before="43"/>
              <w:ind w:left="6"/>
            </w:pPr>
            <w:r>
              <w:rPr>
                <w:spacing w:val="-5"/>
              </w:rPr>
              <w:t>15</w:t>
            </w:r>
          </w:p>
        </w:tc>
        <w:tc>
          <w:tcPr>
            <w:tcW w:w="5515" w:type="dxa"/>
          </w:tcPr>
          <w:p w14:paraId="4EF65665" w14:textId="77777777" w:rsidR="002F5AC7" w:rsidRDefault="002F5AC7" w:rsidP="00025311">
            <w:pPr>
              <w:pStyle w:val="TableParagraph"/>
              <w:spacing w:before="43"/>
              <w:ind w:left="108"/>
              <w:jc w:val="left"/>
            </w:pPr>
            <w:r>
              <w:rPr>
                <w:spacing w:val="-2"/>
              </w:rPr>
              <w:t>Mesas</w:t>
            </w:r>
          </w:p>
        </w:tc>
      </w:tr>
      <w:tr w:rsidR="002F5AC7" w14:paraId="6E20B975" w14:textId="77777777" w:rsidTr="002F5AC7">
        <w:trPr>
          <w:trHeight w:val="340"/>
        </w:trPr>
        <w:tc>
          <w:tcPr>
            <w:tcW w:w="1476" w:type="dxa"/>
          </w:tcPr>
          <w:p w14:paraId="21D20E22" w14:textId="77777777" w:rsidR="002F5AC7" w:rsidRDefault="002F5AC7" w:rsidP="00025311">
            <w:pPr>
              <w:pStyle w:val="TableParagraph"/>
              <w:spacing w:before="43"/>
              <w:ind w:left="10" w:right="3"/>
            </w:pPr>
            <w:r>
              <w:rPr>
                <w:spacing w:val="-5"/>
              </w:rPr>
              <w:t>48</w:t>
            </w:r>
          </w:p>
        </w:tc>
        <w:tc>
          <w:tcPr>
            <w:tcW w:w="1109" w:type="dxa"/>
          </w:tcPr>
          <w:p w14:paraId="1274F550" w14:textId="77777777" w:rsidR="002F5AC7" w:rsidRDefault="002F5AC7" w:rsidP="00025311">
            <w:pPr>
              <w:pStyle w:val="TableParagraph"/>
              <w:spacing w:before="43"/>
              <w:ind w:left="4"/>
            </w:pPr>
            <w:r>
              <w:rPr>
                <w:spacing w:val="-5"/>
              </w:rPr>
              <w:t>10</w:t>
            </w:r>
          </w:p>
        </w:tc>
        <w:tc>
          <w:tcPr>
            <w:tcW w:w="1108" w:type="dxa"/>
          </w:tcPr>
          <w:p w14:paraId="2BF3B210" w14:textId="77777777" w:rsidR="002F5AC7" w:rsidRDefault="002F5AC7" w:rsidP="00025311">
            <w:pPr>
              <w:pStyle w:val="TableParagraph"/>
              <w:spacing w:before="43"/>
              <w:ind w:left="6"/>
            </w:pPr>
            <w:r>
              <w:rPr>
                <w:spacing w:val="-5"/>
              </w:rPr>
              <w:t>17</w:t>
            </w:r>
          </w:p>
        </w:tc>
        <w:tc>
          <w:tcPr>
            <w:tcW w:w="5515" w:type="dxa"/>
          </w:tcPr>
          <w:p w14:paraId="3F02EBE6" w14:textId="77777777" w:rsidR="002F5AC7" w:rsidRDefault="002F5AC7" w:rsidP="00025311">
            <w:pPr>
              <w:pStyle w:val="TableParagraph"/>
              <w:spacing w:before="43"/>
              <w:ind w:left="108"/>
              <w:jc w:val="left"/>
            </w:pPr>
            <w:r>
              <w:t>Dispensadores</w:t>
            </w:r>
            <w:r>
              <w:rPr>
                <w:spacing w:val="-5"/>
              </w:rPr>
              <w:t xml:space="preserve"> </w:t>
            </w:r>
            <w:r>
              <w:t>de</w:t>
            </w:r>
            <w:r>
              <w:rPr>
                <w:spacing w:val="-7"/>
              </w:rPr>
              <w:t xml:space="preserve"> </w:t>
            </w:r>
            <w:r>
              <w:t>agua</w:t>
            </w:r>
            <w:r>
              <w:rPr>
                <w:spacing w:val="-6"/>
              </w:rPr>
              <w:t xml:space="preserve"> </w:t>
            </w:r>
            <w:r>
              <w:t>embotellada</w:t>
            </w:r>
            <w:r>
              <w:rPr>
                <w:spacing w:val="-5"/>
              </w:rPr>
              <w:t xml:space="preserve"> </w:t>
            </w:r>
            <w:r>
              <w:t>o</w:t>
            </w:r>
            <w:r>
              <w:rPr>
                <w:spacing w:val="-6"/>
              </w:rPr>
              <w:t xml:space="preserve"> </w:t>
            </w:r>
            <w:r>
              <w:rPr>
                <w:spacing w:val="-2"/>
              </w:rPr>
              <w:t>accesorios</w:t>
            </w:r>
          </w:p>
        </w:tc>
      </w:tr>
      <w:tr w:rsidR="002F5AC7" w14:paraId="06B7C849" w14:textId="77777777" w:rsidTr="002F5AC7">
        <w:trPr>
          <w:trHeight w:val="506"/>
        </w:trPr>
        <w:tc>
          <w:tcPr>
            <w:tcW w:w="1476" w:type="dxa"/>
          </w:tcPr>
          <w:p w14:paraId="7877B4B6" w14:textId="77777777" w:rsidR="002F5AC7" w:rsidRDefault="002F5AC7" w:rsidP="00025311">
            <w:pPr>
              <w:pStyle w:val="TableParagraph"/>
              <w:spacing w:before="124"/>
              <w:ind w:left="10" w:right="3"/>
            </w:pPr>
            <w:r>
              <w:rPr>
                <w:spacing w:val="-5"/>
              </w:rPr>
              <w:t>42</w:t>
            </w:r>
          </w:p>
        </w:tc>
        <w:tc>
          <w:tcPr>
            <w:tcW w:w="1109" w:type="dxa"/>
          </w:tcPr>
          <w:p w14:paraId="235CAA06" w14:textId="77777777" w:rsidR="002F5AC7" w:rsidRDefault="002F5AC7" w:rsidP="00025311">
            <w:pPr>
              <w:pStyle w:val="TableParagraph"/>
              <w:spacing w:before="124"/>
              <w:ind w:left="4"/>
            </w:pPr>
            <w:r>
              <w:rPr>
                <w:spacing w:val="-5"/>
              </w:rPr>
              <w:t>17</w:t>
            </w:r>
          </w:p>
        </w:tc>
        <w:tc>
          <w:tcPr>
            <w:tcW w:w="1108" w:type="dxa"/>
          </w:tcPr>
          <w:p w14:paraId="34F35E0E" w14:textId="77777777" w:rsidR="002F5AC7" w:rsidRDefault="002F5AC7" w:rsidP="00025311">
            <w:pPr>
              <w:pStyle w:val="TableParagraph"/>
              <w:spacing w:before="124"/>
              <w:ind w:left="6"/>
            </w:pPr>
            <w:r>
              <w:rPr>
                <w:spacing w:val="-5"/>
              </w:rPr>
              <w:t>20</w:t>
            </w:r>
          </w:p>
        </w:tc>
        <w:tc>
          <w:tcPr>
            <w:tcW w:w="5515" w:type="dxa"/>
          </w:tcPr>
          <w:p w14:paraId="776C0990" w14:textId="77777777" w:rsidR="002F5AC7" w:rsidRDefault="002F5AC7" w:rsidP="00025311">
            <w:pPr>
              <w:pStyle w:val="TableParagraph"/>
              <w:spacing w:line="252" w:lineRule="exact"/>
              <w:ind w:left="108"/>
              <w:jc w:val="left"/>
            </w:pPr>
            <w:r>
              <w:t>Kits</w:t>
            </w:r>
            <w:r>
              <w:rPr>
                <w:spacing w:val="40"/>
              </w:rPr>
              <w:t xml:space="preserve"> </w:t>
            </w:r>
            <w:r>
              <w:t>de</w:t>
            </w:r>
            <w:r>
              <w:rPr>
                <w:spacing w:val="37"/>
              </w:rPr>
              <w:t xml:space="preserve"> </w:t>
            </w:r>
            <w:r>
              <w:t>primeros</w:t>
            </w:r>
            <w:r>
              <w:rPr>
                <w:spacing w:val="38"/>
              </w:rPr>
              <w:t xml:space="preserve"> </w:t>
            </w:r>
            <w:r>
              <w:t>auxilios</w:t>
            </w:r>
            <w:r>
              <w:rPr>
                <w:spacing w:val="40"/>
              </w:rPr>
              <w:t xml:space="preserve"> </w:t>
            </w:r>
            <w:r>
              <w:t>para</w:t>
            </w:r>
            <w:r>
              <w:rPr>
                <w:spacing w:val="37"/>
              </w:rPr>
              <w:t xml:space="preserve"> </w:t>
            </w:r>
            <w:r>
              <w:t>servicios</w:t>
            </w:r>
            <w:r>
              <w:rPr>
                <w:spacing w:val="36"/>
              </w:rPr>
              <w:t xml:space="preserve"> </w:t>
            </w:r>
            <w:r>
              <w:t>médicos</w:t>
            </w:r>
            <w:r>
              <w:rPr>
                <w:spacing w:val="40"/>
              </w:rPr>
              <w:t xml:space="preserve"> </w:t>
            </w:r>
            <w:r>
              <w:t xml:space="preserve">de </w:t>
            </w:r>
            <w:r>
              <w:rPr>
                <w:spacing w:val="-2"/>
              </w:rPr>
              <w:t>emergencia</w:t>
            </w:r>
          </w:p>
        </w:tc>
      </w:tr>
      <w:tr w:rsidR="002F5AC7" w14:paraId="6FC5FF18" w14:textId="77777777" w:rsidTr="002F5AC7">
        <w:trPr>
          <w:trHeight w:val="337"/>
        </w:trPr>
        <w:tc>
          <w:tcPr>
            <w:tcW w:w="1476" w:type="dxa"/>
          </w:tcPr>
          <w:p w14:paraId="538B4C72" w14:textId="77777777" w:rsidR="002F5AC7" w:rsidRDefault="002F5AC7" w:rsidP="00025311">
            <w:pPr>
              <w:pStyle w:val="TableParagraph"/>
              <w:spacing w:before="43"/>
              <w:ind w:left="10" w:right="3"/>
            </w:pPr>
            <w:r>
              <w:rPr>
                <w:spacing w:val="-5"/>
              </w:rPr>
              <w:t>54</w:t>
            </w:r>
          </w:p>
        </w:tc>
        <w:tc>
          <w:tcPr>
            <w:tcW w:w="1109" w:type="dxa"/>
          </w:tcPr>
          <w:p w14:paraId="22008689" w14:textId="77777777" w:rsidR="002F5AC7" w:rsidRDefault="002F5AC7" w:rsidP="00025311">
            <w:pPr>
              <w:pStyle w:val="TableParagraph"/>
              <w:spacing w:before="43"/>
              <w:ind w:left="4"/>
            </w:pPr>
            <w:r>
              <w:rPr>
                <w:spacing w:val="-5"/>
              </w:rPr>
              <w:t>11</w:t>
            </w:r>
          </w:p>
        </w:tc>
        <w:tc>
          <w:tcPr>
            <w:tcW w:w="1108" w:type="dxa"/>
          </w:tcPr>
          <w:p w14:paraId="0935F670" w14:textId="77777777" w:rsidR="002F5AC7" w:rsidRDefault="002F5AC7" w:rsidP="00025311">
            <w:pPr>
              <w:pStyle w:val="TableParagraph"/>
              <w:spacing w:before="43"/>
              <w:ind w:left="6"/>
            </w:pPr>
            <w:r>
              <w:rPr>
                <w:spacing w:val="-5"/>
              </w:rPr>
              <w:t>16</w:t>
            </w:r>
          </w:p>
        </w:tc>
        <w:tc>
          <w:tcPr>
            <w:tcW w:w="5515" w:type="dxa"/>
          </w:tcPr>
          <w:p w14:paraId="763BD0CB" w14:textId="77777777" w:rsidR="002F5AC7" w:rsidRDefault="002F5AC7" w:rsidP="00025311">
            <w:pPr>
              <w:pStyle w:val="TableParagraph"/>
              <w:spacing w:before="43"/>
              <w:ind w:left="108"/>
              <w:jc w:val="left"/>
            </w:pPr>
            <w:r>
              <w:t>Relojes</w:t>
            </w:r>
            <w:r>
              <w:rPr>
                <w:spacing w:val="-4"/>
              </w:rPr>
              <w:t xml:space="preserve"> </w:t>
            </w:r>
            <w:r>
              <w:t>de</w:t>
            </w:r>
            <w:r>
              <w:rPr>
                <w:spacing w:val="-3"/>
              </w:rPr>
              <w:t xml:space="preserve"> </w:t>
            </w:r>
            <w:r>
              <w:rPr>
                <w:spacing w:val="-2"/>
              </w:rPr>
              <w:t>pared</w:t>
            </w:r>
          </w:p>
        </w:tc>
      </w:tr>
      <w:tr w:rsidR="002F5AC7" w14:paraId="198ACA9D" w14:textId="77777777" w:rsidTr="002F5AC7">
        <w:trPr>
          <w:trHeight w:val="340"/>
        </w:trPr>
        <w:tc>
          <w:tcPr>
            <w:tcW w:w="1476" w:type="dxa"/>
          </w:tcPr>
          <w:p w14:paraId="19D82598" w14:textId="77777777" w:rsidR="002F5AC7" w:rsidRDefault="002F5AC7" w:rsidP="00025311">
            <w:pPr>
              <w:pStyle w:val="TableParagraph"/>
              <w:spacing w:before="45"/>
              <w:ind w:left="10" w:right="3"/>
            </w:pPr>
            <w:r>
              <w:rPr>
                <w:spacing w:val="-5"/>
              </w:rPr>
              <w:t>47</w:t>
            </w:r>
          </w:p>
        </w:tc>
        <w:tc>
          <w:tcPr>
            <w:tcW w:w="1109" w:type="dxa"/>
          </w:tcPr>
          <w:p w14:paraId="14270506" w14:textId="77777777" w:rsidR="002F5AC7" w:rsidRDefault="002F5AC7" w:rsidP="00025311">
            <w:pPr>
              <w:pStyle w:val="TableParagraph"/>
              <w:spacing w:before="45"/>
              <w:ind w:left="4"/>
            </w:pPr>
            <w:r>
              <w:rPr>
                <w:spacing w:val="-5"/>
              </w:rPr>
              <w:t>12</w:t>
            </w:r>
          </w:p>
        </w:tc>
        <w:tc>
          <w:tcPr>
            <w:tcW w:w="1108" w:type="dxa"/>
          </w:tcPr>
          <w:p w14:paraId="37F871A0" w14:textId="77777777" w:rsidR="002F5AC7" w:rsidRDefault="002F5AC7" w:rsidP="00025311">
            <w:pPr>
              <w:pStyle w:val="TableParagraph"/>
              <w:spacing w:before="45"/>
              <w:ind w:left="6"/>
            </w:pPr>
            <w:r>
              <w:rPr>
                <w:spacing w:val="-5"/>
              </w:rPr>
              <w:t>16</w:t>
            </w:r>
          </w:p>
        </w:tc>
        <w:tc>
          <w:tcPr>
            <w:tcW w:w="5515" w:type="dxa"/>
          </w:tcPr>
          <w:p w14:paraId="512BD4AD" w14:textId="77777777" w:rsidR="002F5AC7" w:rsidRDefault="002F5AC7" w:rsidP="00025311">
            <w:pPr>
              <w:pStyle w:val="TableParagraph"/>
              <w:spacing w:before="45"/>
              <w:ind w:left="108"/>
              <w:jc w:val="left"/>
            </w:pPr>
            <w:r>
              <w:rPr>
                <w:spacing w:val="-2"/>
              </w:rPr>
              <w:t>Aspiradoras</w:t>
            </w:r>
          </w:p>
        </w:tc>
      </w:tr>
      <w:tr w:rsidR="002F5AC7" w14:paraId="1AEC970A" w14:textId="77777777" w:rsidTr="002F5AC7">
        <w:trPr>
          <w:trHeight w:val="506"/>
        </w:trPr>
        <w:tc>
          <w:tcPr>
            <w:tcW w:w="1476" w:type="dxa"/>
          </w:tcPr>
          <w:p w14:paraId="7C8BB3BC" w14:textId="77777777" w:rsidR="002F5AC7" w:rsidRDefault="002F5AC7" w:rsidP="00025311">
            <w:pPr>
              <w:pStyle w:val="TableParagraph"/>
              <w:spacing w:before="127"/>
              <w:ind w:left="10" w:right="3"/>
            </w:pPr>
            <w:r>
              <w:rPr>
                <w:spacing w:val="-5"/>
              </w:rPr>
              <w:t>72</w:t>
            </w:r>
          </w:p>
        </w:tc>
        <w:tc>
          <w:tcPr>
            <w:tcW w:w="1109" w:type="dxa"/>
          </w:tcPr>
          <w:p w14:paraId="167B372C" w14:textId="77777777" w:rsidR="002F5AC7" w:rsidRDefault="002F5AC7" w:rsidP="00025311">
            <w:pPr>
              <w:pStyle w:val="TableParagraph"/>
              <w:spacing w:before="127"/>
              <w:ind w:left="4"/>
            </w:pPr>
            <w:r>
              <w:rPr>
                <w:spacing w:val="-5"/>
              </w:rPr>
              <w:t>15</w:t>
            </w:r>
          </w:p>
        </w:tc>
        <w:tc>
          <w:tcPr>
            <w:tcW w:w="1108" w:type="dxa"/>
          </w:tcPr>
          <w:p w14:paraId="100060D7" w14:textId="77777777" w:rsidR="002F5AC7" w:rsidRDefault="002F5AC7" w:rsidP="00025311">
            <w:pPr>
              <w:pStyle w:val="TableParagraph"/>
              <w:spacing w:before="127"/>
              <w:ind w:left="6"/>
            </w:pPr>
            <w:r>
              <w:rPr>
                <w:spacing w:val="-5"/>
              </w:rPr>
              <w:t>16</w:t>
            </w:r>
          </w:p>
        </w:tc>
        <w:tc>
          <w:tcPr>
            <w:tcW w:w="5515" w:type="dxa"/>
          </w:tcPr>
          <w:p w14:paraId="798FC103" w14:textId="77777777" w:rsidR="002F5AC7" w:rsidRDefault="002F5AC7" w:rsidP="00025311">
            <w:pPr>
              <w:pStyle w:val="TableParagraph"/>
              <w:tabs>
                <w:tab w:val="left" w:pos="1114"/>
                <w:tab w:val="left" w:pos="1579"/>
                <w:tab w:val="left" w:pos="2838"/>
                <w:tab w:val="left" w:pos="3304"/>
                <w:tab w:val="left" w:pos="4295"/>
                <w:tab w:val="left" w:pos="4761"/>
              </w:tabs>
              <w:spacing w:line="254" w:lineRule="exact"/>
              <w:ind w:left="108" w:right="95"/>
              <w:jc w:val="left"/>
            </w:pPr>
            <w:r>
              <w:rPr>
                <w:spacing w:val="-2"/>
              </w:rPr>
              <w:t>Servicio</w:t>
            </w:r>
            <w:r>
              <w:tab/>
            </w:r>
            <w:r>
              <w:rPr>
                <w:spacing w:val="-6"/>
              </w:rPr>
              <w:t>de</w:t>
            </w:r>
            <w:r>
              <w:tab/>
            </w:r>
            <w:r>
              <w:rPr>
                <w:spacing w:val="-2"/>
              </w:rPr>
              <w:t>instalación</w:t>
            </w:r>
            <w:r>
              <w:tab/>
            </w:r>
            <w:r>
              <w:rPr>
                <w:spacing w:val="-6"/>
              </w:rPr>
              <w:t>de</w:t>
            </w:r>
            <w:r>
              <w:tab/>
            </w:r>
            <w:r>
              <w:rPr>
                <w:spacing w:val="-2"/>
              </w:rPr>
              <w:t>equipos</w:t>
            </w:r>
            <w:r>
              <w:tab/>
            </w:r>
            <w:r>
              <w:rPr>
                <w:spacing w:val="-6"/>
              </w:rPr>
              <w:t>de</w:t>
            </w:r>
            <w:r>
              <w:tab/>
            </w:r>
            <w:r>
              <w:rPr>
                <w:spacing w:val="-2"/>
              </w:rPr>
              <w:t>sonido especializados</w:t>
            </w:r>
          </w:p>
        </w:tc>
      </w:tr>
      <w:tr w:rsidR="002F5AC7" w14:paraId="1E9C0992" w14:textId="77777777" w:rsidTr="002F5AC7">
        <w:trPr>
          <w:trHeight w:val="338"/>
        </w:trPr>
        <w:tc>
          <w:tcPr>
            <w:tcW w:w="1476" w:type="dxa"/>
          </w:tcPr>
          <w:p w14:paraId="016B135C" w14:textId="77777777" w:rsidR="002F5AC7" w:rsidRDefault="002F5AC7" w:rsidP="00025311">
            <w:pPr>
              <w:pStyle w:val="TableParagraph"/>
              <w:spacing w:before="43"/>
              <w:ind w:left="10" w:right="3"/>
            </w:pPr>
            <w:r>
              <w:rPr>
                <w:spacing w:val="-5"/>
              </w:rPr>
              <w:t>52</w:t>
            </w:r>
          </w:p>
        </w:tc>
        <w:tc>
          <w:tcPr>
            <w:tcW w:w="1109" w:type="dxa"/>
          </w:tcPr>
          <w:p w14:paraId="03D250CB" w14:textId="77777777" w:rsidR="002F5AC7" w:rsidRDefault="002F5AC7" w:rsidP="00025311">
            <w:pPr>
              <w:pStyle w:val="TableParagraph"/>
              <w:spacing w:before="43"/>
              <w:ind w:left="4"/>
            </w:pPr>
            <w:r>
              <w:rPr>
                <w:spacing w:val="-5"/>
              </w:rPr>
              <w:t>16</w:t>
            </w:r>
          </w:p>
        </w:tc>
        <w:tc>
          <w:tcPr>
            <w:tcW w:w="1108" w:type="dxa"/>
          </w:tcPr>
          <w:p w14:paraId="36724135" w14:textId="77777777" w:rsidR="002F5AC7" w:rsidRDefault="002F5AC7" w:rsidP="00025311">
            <w:pPr>
              <w:pStyle w:val="TableParagraph"/>
              <w:spacing w:before="43"/>
              <w:ind w:left="6"/>
            </w:pPr>
            <w:r>
              <w:rPr>
                <w:spacing w:val="-5"/>
              </w:rPr>
              <w:t>15</w:t>
            </w:r>
          </w:p>
        </w:tc>
        <w:tc>
          <w:tcPr>
            <w:tcW w:w="5515" w:type="dxa"/>
          </w:tcPr>
          <w:p w14:paraId="583C5BD6" w14:textId="77777777" w:rsidR="002F5AC7" w:rsidRDefault="002F5AC7" w:rsidP="00025311">
            <w:pPr>
              <w:pStyle w:val="TableParagraph"/>
              <w:spacing w:before="43"/>
              <w:ind w:left="108"/>
              <w:jc w:val="left"/>
            </w:pPr>
            <w:r>
              <w:rPr>
                <w:spacing w:val="-2"/>
              </w:rPr>
              <w:t>Micrófonos</w:t>
            </w:r>
          </w:p>
        </w:tc>
      </w:tr>
      <w:tr w:rsidR="002F5AC7" w14:paraId="75F2A23B" w14:textId="77777777" w:rsidTr="002F5AC7">
        <w:trPr>
          <w:trHeight w:val="340"/>
        </w:trPr>
        <w:tc>
          <w:tcPr>
            <w:tcW w:w="1476" w:type="dxa"/>
          </w:tcPr>
          <w:p w14:paraId="6327DDEF" w14:textId="77777777" w:rsidR="002F5AC7" w:rsidRDefault="002F5AC7" w:rsidP="00025311">
            <w:pPr>
              <w:pStyle w:val="TableParagraph"/>
              <w:spacing w:before="43"/>
              <w:ind w:left="10" w:right="3"/>
            </w:pPr>
            <w:r>
              <w:rPr>
                <w:spacing w:val="-5"/>
              </w:rPr>
              <w:t>24</w:t>
            </w:r>
          </w:p>
        </w:tc>
        <w:tc>
          <w:tcPr>
            <w:tcW w:w="1109" w:type="dxa"/>
          </w:tcPr>
          <w:p w14:paraId="0B7A0700" w14:textId="77777777" w:rsidR="002F5AC7" w:rsidRDefault="002F5AC7" w:rsidP="00025311">
            <w:pPr>
              <w:pStyle w:val="TableParagraph"/>
              <w:spacing w:before="43"/>
              <w:ind w:left="4"/>
            </w:pPr>
            <w:r>
              <w:rPr>
                <w:spacing w:val="-5"/>
              </w:rPr>
              <w:t>11</w:t>
            </w:r>
          </w:p>
        </w:tc>
        <w:tc>
          <w:tcPr>
            <w:tcW w:w="1108" w:type="dxa"/>
          </w:tcPr>
          <w:p w14:paraId="636B3110" w14:textId="77777777" w:rsidR="002F5AC7" w:rsidRDefault="002F5AC7" w:rsidP="00025311">
            <w:pPr>
              <w:pStyle w:val="TableParagraph"/>
              <w:spacing w:before="43"/>
              <w:ind w:left="6"/>
            </w:pPr>
            <w:r>
              <w:rPr>
                <w:spacing w:val="-5"/>
              </w:rPr>
              <w:t>24</w:t>
            </w:r>
          </w:p>
        </w:tc>
        <w:tc>
          <w:tcPr>
            <w:tcW w:w="5515" w:type="dxa"/>
          </w:tcPr>
          <w:p w14:paraId="22461725" w14:textId="77777777" w:rsidR="002F5AC7" w:rsidRDefault="002F5AC7" w:rsidP="00025311">
            <w:pPr>
              <w:pStyle w:val="TableParagraph"/>
              <w:spacing w:before="43"/>
              <w:ind w:left="108"/>
              <w:jc w:val="left"/>
            </w:pPr>
            <w:r>
              <w:t>Cofres,</w:t>
            </w:r>
            <w:r>
              <w:rPr>
                <w:spacing w:val="-2"/>
              </w:rPr>
              <w:t xml:space="preserve"> </w:t>
            </w:r>
            <w:r>
              <w:t>cajas</w:t>
            </w:r>
            <w:r>
              <w:rPr>
                <w:spacing w:val="-5"/>
              </w:rPr>
              <w:t xml:space="preserve"> </w:t>
            </w:r>
            <w:r>
              <w:t>o</w:t>
            </w:r>
            <w:r>
              <w:rPr>
                <w:spacing w:val="-4"/>
              </w:rPr>
              <w:t xml:space="preserve"> </w:t>
            </w:r>
            <w:r>
              <w:t>armarios</w:t>
            </w:r>
            <w:r>
              <w:rPr>
                <w:spacing w:val="-5"/>
              </w:rPr>
              <w:t xml:space="preserve"> </w:t>
            </w:r>
            <w:r>
              <w:t>para</w:t>
            </w:r>
            <w:r>
              <w:rPr>
                <w:spacing w:val="-3"/>
              </w:rPr>
              <w:t xml:space="preserve"> </w:t>
            </w:r>
            <w:r>
              <w:rPr>
                <w:spacing w:val="-2"/>
              </w:rPr>
              <w:t>herramientas</w:t>
            </w:r>
          </w:p>
        </w:tc>
      </w:tr>
      <w:tr w:rsidR="002F5AC7" w14:paraId="56A0C445" w14:textId="77777777" w:rsidTr="002F5AC7">
        <w:trPr>
          <w:trHeight w:val="340"/>
        </w:trPr>
        <w:tc>
          <w:tcPr>
            <w:tcW w:w="1476" w:type="dxa"/>
          </w:tcPr>
          <w:p w14:paraId="7846AFAF" w14:textId="77777777" w:rsidR="002F5AC7" w:rsidRDefault="002F5AC7" w:rsidP="00025311">
            <w:pPr>
              <w:pStyle w:val="TableParagraph"/>
              <w:spacing w:before="43"/>
              <w:ind w:left="10" w:right="3"/>
            </w:pPr>
            <w:r>
              <w:rPr>
                <w:spacing w:val="-5"/>
              </w:rPr>
              <w:t>43</w:t>
            </w:r>
          </w:p>
        </w:tc>
        <w:tc>
          <w:tcPr>
            <w:tcW w:w="1109" w:type="dxa"/>
          </w:tcPr>
          <w:p w14:paraId="4ACECF53" w14:textId="77777777" w:rsidR="002F5AC7" w:rsidRDefault="002F5AC7" w:rsidP="00025311">
            <w:pPr>
              <w:pStyle w:val="TableParagraph"/>
              <w:spacing w:before="43"/>
              <w:ind w:left="4"/>
            </w:pPr>
            <w:r>
              <w:rPr>
                <w:spacing w:val="-5"/>
              </w:rPr>
              <w:t>12</w:t>
            </w:r>
          </w:p>
        </w:tc>
        <w:tc>
          <w:tcPr>
            <w:tcW w:w="1108" w:type="dxa"/>
          </w:tcPr>
          <w:p w14:paraId="7AF47BA4" w14:textId="77777777" w:rsidR="002F5AC7" w:rsidRDefault="002F5AC7" w:rsidP="00025311">
            <w:pPr>
              <w:pStyle w:val="TableParagraph"/>
              <w:spacing w:before="43"/>
              <w:ind w:left="6"/>
            </w:pPr>
            <w:r>
              <w:rPr>
                <w:spacing w:val="-5"/>
              </w:rPr>
              <w:t>10</w:t>
            </w:r>
          </w:p>
        </w:tc>
        <w:tc>
          <w:tcPr>
            <w:tcW w:w="5515" w:type="dxa"/>
          </w:tcPr>
          <w:p w14:paraId="10383047" w14:textId="77777777" w:rsidR="002F5AC7" w:rsidRDefault="002F5AC7" w:rsidP="00025311">
            <w:pPr>
              <w:pStyle w:val="TableParagraph"/>
              <w:spacing w:before="43"/>
              <w:ind w:left="108"/>
              <w:jc w:val="left"/>
            </w:pPr>
            <w:r>
              <w:t>Impresoras</w:t>
            </w:r>
            <w:r>
              <w:rPr>
                <w:spacing w:val="-6"/>
              </w:rPr>
              <w:t xml:space="preserve"> </w:t>
            </w:r>
            <w:r>
              <w:t>de</w:t>
            </w:r>
            <w:r>
              <w:rPr>
                <w:spacing w:val="-5"/>
              </w:rPr>
              <w:t xml:space="preserve"> </w:t>
            </w:r>
            <w:r>
              <w:rPr>
                <w:spacing w:val="-2"/>
              </w:rPr>
              <w:t>banda</w:t>
            </w:r>
          </w:p>
        </w:tc>
      </w:tr>
      <w:tr w:rsidR="002F5AC7" w14:paraId="36BD1184" w14:textId="77777777" w:rsidTr="002F5AC7">
        <w:trPr>
          <w:trHeight w:val="340"/>
        </w:trPr>
        <w:tc>
          <w:tcPr>
            <w:tcW w:w="1476" w:type="dxa"/>
          </w:tcPr>
          <w:p w14:paraId="709678E9" w14:textId="77777777" w:rsidR="002F5AC7" w:rsidRDefault="002F5AC7" w:rsidP="00025311">
            <w:pPr>
              <w:pStyle w:val="TableParagraph"/>
              <w:spacing w:before="43"/>
              <w:ind w:left="10" w:right="3"/>
            </w:pPr>
            <w:r>
              <w:rPr>
                <w:spacing w:val="-5"/>
              </w:rPr>
              <w:t>44</w:t>
            </w:r>
          </w:p>
        </w:tc>
        <w:tc>
          <w:tcPr>
            <w:tcW w:w="1109" w:type="dxa"/>
          </w:tcPr>
          <w:p w14:paraId="57A9676C" w14:textId="77777777" w:rsidR="002F5AC7" w:rsidRDefault="002F5AC7" w:rsidP="00025311">
            <w:pPr>
              <w:pStyle w:val="TableParagraph"/>
              <w:spacing w:before="43"/>
              <w:ind w:left="4"/>
            </w:pPr>
            <w:r>
              <w:rPr>
                <w:spacing w:val="-5"/>
              </w:rPr>
              <w:t>10</w:t>
            </w:r>
          </w:p>
        </w:tc>
        <w:tc>
          <w:tcPr>
            <w:tcW w:w="1108" w:type="dxa"/>
          </w:tcPr>
          <w:p w14:paraId="18F17FEA" w14:textId="77777777" w:rsidR="002F5AC7" w:rsidRDefault="002F5AC7" w:rsidP="00025311">
            <w:pPr>
              <w:pStyle w:val="TableParagraph"/>
              <w:spacing w:before="43"/>
              <w:ind w:left="6"/>
            </w:pPr>
            <w:r>
              <w:rPr>
                <w:spacing w:val="-5"/>
              </w:rPr>
              <w:t>31</w:t>
            </w:r>
          </w:p>
        </w:tc>
        <w:tc>
          <w:tcPr>
            <w:tcW w:w="5515" w:type="dxa"/>
          </w:tcPr>
          <w:p w14:paraId="03C4FA25" w14:textId="77777777" w:rsidR="002F5AC7" w:rsidRDefault="002F5AC7" w:rsidP="00025311">
            <w:pPr>
              <w:pStyle w:val="TableParagraph"/>
              <w:spacing w:before="43"/>
              <w:ind w:left="108"/>
              <w:jc w:val="left"/>
            </w:pPr>
            <w:r>
              <w:t>Cinta</w:t>
            </w:r>
            <w:r>
              <w:rPr>
                <w:spacing w:val="-5"/>
              </w:rPr>
              <w:t xml:space="preserve"> </w:t>
            </w:r>
            <w:r>
              <w:t>de</w:t>
            </w:r>
            <w:r>
              <w:rPr>
                <w:spacing w:val="-3"/>
              </w:rPr>
              <w:t xml:space="preserve"> </w:t>
            </w:r>
            <w:r>
              <w:rPr>
                <w:spacing w:val="-2"/>
              </w:rPr>
              <w:t>impresora</w:t>
            </w:r>
          </w:p>
        </w:tc>
      </w:tr>
      <w:tr w:rsidR="002F5AC7" w14:paraId="50BD49D0" w14:textId="77777777" w:rsidTr="002F5AC7">
        <w:trPr>
          <w:trHeight w:val="338"/>
        </w:trPr>
        <w:tc>
          <w:tcPr>
            <w:tcW w:w="1476" w:type="dxa"/>
          </w:tcPr>
          <w:p w14:paraId="0E55D803" w14:textId="77777777" w:rsidR="002F5AC7" w:rsidRDefault="002F5AC7" w:rsidP="00025311">
            <w:pPr>
              <w:pStyle w:val="TableParagraph"/>
              <w:spacing w:before="43"/>
              <w:ind w:left="10" w:right="3"/>
            </w:pPr>
            <w:r>
              <w:rPr>
                <w:spacing w:val="-5"/>
              </w:rPr>
              <w:t>39</w:t>
            </w:r>
          </w:p>
        </w:tc>
        <w:tc>
          <w:tcPr>
            <w:tcW w:w="1109" w:type="dxa"/>
          </w:tcPr>
          <w:p w14:paraId="0E4CA384" w14:textId="77777777" w:rsidR="002F5AC7" w:rsidRDefault="002F5AC7" w:rsidP="00025311">
            <w:pPr>
              <w:pStyle w:val="TableParagraph"/>
              <w:spacing w:before="43"/>
              <w:ind w:left="4"/>
            </w:pPr>
            <w:r>
              <w:rPr>
                <w:spacing w:val="-5"/>
              </w:rPr>
              <w:t>12</w:t>
            </w:r>
          </w:p>
        </w:tc>
        <w:tc>
          <w:tcPr>
            <w:tcW w:w="1108" w:type="dxa"/>
          </w:tcPr>
          <w:p w14:paraId="2D29A9D0" w14:textId="77777777" w:rsidR="002F5AC7" w:rsidRDefault="002F5AC7" w:rsidP="00025311">
            <w:pPr>
              <w:pStyle w:val="TableParagraph"/>
              <w:spacing w:before="43"/>
              <w:ind w:left="6"/>
            </w:pPr>
            <w:r>
              <w:rPr>
                <w:spacing w:val="-5"/>
              </w:rPr>
              <w:t>14</w:t>
            </w:r>
          </w:p>
        </w:tc>
        <w:tc>
          <w:tcPr>
            <w:tcW w:w="5515" w:type="dxa"/>
          </w:tcPr>
          <w:p w14:paraId="32646682" w14:textId="77777777" w:rsidR="002F5AC7" w:rsidRDefault="002F5AC7" w:rsidP="00025311">
            <w:pPr>
              <w:pStyle w:val="TableParagraph"/>
              <w:spacing w:before="43"/>
              <w:ind w:left="108"/>
              <w:jc w:val="left"/>
            </w:pPr>
            <w:r>
              <w:t>Cable</w:t>
            </w:r>
            <w:r>
              <w:rPr>
                <w:spacing w:val="-6"/>
              </w:rPr>
              <w:t xml:space="preserve"> </w:t>
            </w:r>
            <w:r>
              <w:t>de</w:t>
            </w:r>
            <w:r>
              <w:rPr>
                <w:spacing w:val="-5"/>
              </w:rPr>
              <w:t xml:space="preserve"> </w:t>
            </w:r>
            <w:r>
              <w:t>extensión</w:t>
            </w:r>
            <w:r>
              <w:rPr>
                <w:spacing w:val="-6"/>
              </w:rPr>
              <w:t xml:space="preserve"> </w:t>
            </w:r>
            <w:r>
              <w:rPr>
                <w:spacing w:val="-2"/>
              </w:rPr>
              <w:t>eléctrica</w:t>
            </w:r>
          </w:p>
        </w:tc>
      </w:tr>
      <w:tr w:rsidR="002F5AC7" w14:paraId="0961146D" w14:textId="77777777" w:rsidTr="002F5AC7">
        <w:trPr>
          <w:trHeight w:val="340"/>
        </w:trPr>
        <w:tc>
          <w:tcPr>
            <w:tcW w:w="1476" w:type="dxa"/>
          </w:tcPr>
          <w:p w14:paraId="08C5A06F" w14:textId="77777777" w:rsidR="002F5AC7" w:rsidRDefault="002F5AC7" w:rsidP="00025311">
            <w:pPr>
              <w:pStyle w:val="TableParagraph"/>
              <w:spacing w:before="46"/>
              <w:ind w:left="10" w:right="3"/>
            </w:pPr>
            <w:r>
              <w:rPr>
                <w:spacing w:val="-5"/>
              </w:rPr>
              <w:t>39</w:t>
            </w:r>
          </w:p>
        </w:tc>
        <w:tc>
          <w:tcPr>
            <w:tcW w:w="1109" w:type="dxa"/>
          </w:tcPr>
          <w:p w14:paraId="20A87D12" w14:textId="77777777" w:rsidR="002F5AC7" w:rsidRDefault="002F5AC7" w:rsidP="00025311">
            <w:pPr>
              <w:pStyle w:val="TableParagraph"/>
              <w:spacing w:before="46"/>
              <w:ind w:left="4"/>
            </w:pPr>
            <w:r>
              <w:rPr>
                <w:spacing w:val="-5"/>
              </w:rPr>
              <w:t>12</w:t>
            </w:r>
          </w:p>
        </w:tc>
        <w:tc>
          <w:tcPr>
            <w:tcW w:w="1108" w:type="dxa"/>
          </w:tcPr>
          <w:p w14:paraId="7AD2DE99" w14:textId="77777777" w:rsidR="002F5AC7" w:rsidRDefault="002F5AC7" w:rsidP="00025311">
            <w:pPr>
              <w:pStyle w:val="TableParagraph"/>
              <w:spacing w:before="46"/>
              <w:ind w:left="6"/>
            </w:pPr>
            <w:r>
              <w:rPr>
                <w:spacing w:val="-5"/>
              </w:rPr>
              <w:t>11</w:t>
            </w:r>
          </w:p>
        </w:tc>
        <w:tc>
          <w:tcPr>
            <w:tcW w:w="5515" w:type="dxa"/>
          </w:tcPr>
          <w:p w14:paraId="06B2833B" w14:textId="77777777" w:rsidR="002F5AC7" w:rsidRDefault="002F5AC7" w:rsidP="00025311">
            <w:pPr>
              <w:pStyle w:val="TableParagraph"/>
              <w:spacing w:before="46"/>
              <w:ind w:left="108"/>
              <w:jc w:val="left"/>
            </w:pPr>
            <w:r>
              <w:t>Tomas</w:t>
            </w:r>
            <w:r>
              <w:rPr>
                <w:spacing w:val="-3"/>
              </w:rPr>
              <w:t xml:space="preserve"> </w:t>
            </w:r>
            <w:r>
              <w:t>o</w:t>
            </w:r>
            <w:r>
              <w:rPr>
                <w:spacing w:val="-4"/>
              </w:rPr>
              <w:t xml:space="preserve"> </w:t>
            </w:r>
            <w:r>
              <w:t>centros</w:t>
            </w:r>
            <w:r>
              <w:rPr>
                <w:spacing w:val="-4"/>
              </w:rPr>
              <w:t xml:space="preserve"> </w:t>
            </w:r>
            <w:r>
              <w:t>de</w:t>
            </w:r>
            <w:r>
              <w:rPr>
                <w:spacing w:val="-4"/>
              </w:rPr>
              <w:t xml:space="preserve"> </w:t>
            </w:r>
            <w:r>
              <w:rPr>
                <w:spacing w:val="-2"/>
              </w:rPr>
              <w:t>medidores</w:t>
            </w:r>
          </w:p>
        </w:tc>
      </w:tr>
      <w:tr w:rsidR="002F5AC7" w14:paraId="1CECD472" w14:textId="77777777" w:rsidTr="002F5AC7">
        <w:trPr>
          <w:trHeight w:val="340"/>
        </w:trPr>
        <w:tc>
          <w:tcPr>
            <w:tcW w:w="1476" w:type="dxa"/>
          </w:tcPr>
          <w:p w14:paraId="6C595098" w14:textId="77777777" w:rsidR="002F5AC7" w:rsidRDefault="002F5AC7" w:rsidP="00025311">
            <w:pPr>
              <w:pStyle w:val="TableParagraph"/>
              <w:spacing w:before="45"/>
              <w:ind w:left="10" w:right="3"/>
            </w:pPr>
            <w:r>
              <w:rPr>
                <w:spacing w:val="-5"/>
              </w:rPr>
              <w:t>45</w:t>
            </w:r>
          </w:p>
        </w:tc>
        <w:tc>
          <w:tcPr>
            <w:tcW w:w="1109" w:type="dxa"/>
          </w:tcPr>
          <w:p w14:paraId="3975BD7F" w14:textId="77777777" w:rsidR="002F5AC7" w:rsidRDefault="002F5AC7" w:rsidP="00025311">
            <w:pPr>
              <w:pStyle w:val="TableParagraph"/>
              <w:spacing w:before="45"/>
              <w:ind w:left="4"/>
            </w:pPr>
            <w:r>
              <w:rPr>
                <w:spacing w:val="-5"/>
              </w:rPr>
              <w:t>10</w:t>
            </w:r>
          </w:p>
        </w:tc>
        <w:tc>
          <w:tcPr>
            <w:tcW w:w="1108" w:type="dxa"/>
          </w:tcPr>
          <w:p w14:paraId="74F388BA" w14:textId="77777777" w:rsidR="002F5AC7" w:rsidRDefault="002F5AC7" w:rsidP="00025311">
            <w:pPr>
              <w:pStyle w:val="TableParagraph"/>
              <w:spacing w:before="45"/>
              <w:ind w:left="6"/>
            </w:pPr>
            <w:r>
              <w:rPr>
                <w:spacing w:val="-5"/>
              </w:rPr>
              <w:t>15</w:t>
            </w:r>
          </w:p>
        </w:tc>
        <w:tc>
          <w:tcPr>
            <w:tcW w:w="5515" w:type="dxa"/>
          </w:tcPr>
          <w:p w14:paraId="3DD12E5F" w14:textId="77777777" w:rsidR="002F5AC7" w:rsidRDefault="002F5AC7" w:rsidP="00025311">
            <w:pPr>
              <w:pStyle w:val="TableParagraph"/>
              <w:spacing w:before="45"/>
              <w:ind w:left="108"/>
              <w:jc w:val="left"/>
            </w:pPr>
            <w:r>
              <w:t>Cámaras</w:t>
            </w:r>
            <w:r>
              <w:rPr>
                <w:spacing w:val="-4"/>
              </w:rPr>
              <w:t xml:space="preserve"> </w:t>
            </w:r>
            <w:r>
              <w:rPr>
                <w:spacing w:val="-2"/>
              </w:rPr>
              <w:t>digitales</w:t>
            </w:r>
          </w:p>
        </w:tc>
      </w:tr>
      <w:tr w:rsidR="002F5AC7" w14:paraId="54F7764B" w14:textId="77777777" w:rsidTr="002F5AC7">
        <w:trPr>
          <w:trHeight w:val="340"/>
        </w:trPr>
        <w:tc>
          <w:tcPr>
            <w:tcW w:w="1476" w:type="dxa"/>
          </w:tcPr>
          <w:p w14:paraId="449EDC66" w14:textId="77777777" w:rsidR="002F5AC7" w:rsidRDefault="002F5AC7" w:rsidP="00025311">
            <w:pPr>
              <w:pStyle w:val="TableParagraph"/>
              <w:spacing w:before="43"/>
              <w:ind w:left="10" w:right="3"/>
            </w:pPr>
            <w:r>
              <w:rPr>
                <w:spacing w:val="-5"/>
              </w:rPr>
              <w:t>45</w:t>
            </w:r>
          </w:p>
        </w:tc>
        <w:tc>
          <w:tcPr>
            <w:tcW w:w="1109" w:type="dxa"/>
          </w:tcPr>
          <w:p w14:paraId="1D7A1DBB" w14:textId="77777777" w:rsidR="002F5AC7" w:rsidRDefault="002F5AC7" w:rsidP="00025311">
            <w:pPr>
              <w:pStyle w:val="TableParagraph"/>
              <w:spacing w:before="43"/>
              <w:ind w:left="4"/>
            </w:pPr>
            <w:r>
              <w:rPr>
                <w:spacing w:val="-5"/>
              </w:rPr>
              <w:t>12</w:t>
            </w:r>
          </w:p>
        </w:tc>
        <w:tc>
          <w:tcPr>
            <w:tcW w:w="1108" w:type="dxa"/>
          </w:tcPr>
          <w:p w14:paraId="70D35F41" w14:textId="77777777" w:rsidR="002F5AC7" w:rsidRDefault="002F5AC7" w:rsidP="00025311">
            <w:pPr>
              <w:pStyle w:val="TableParagraph"/>
              <w:spacing w:before="43"/>
              <w:ind w:left="6"/>
            </w:pPr>
            <w:r>
              <w:rPr>
                <w:spacing w:val="-5"/>
              </w:rPr>
              <w:t>16</w:t>
            </w:r>
          </w:p>
        </w:tc>
        <w:tc>
          <w:tcPr>
            <w:tcW w:w="5515" w:type="dxa"/>
          </w:tcPr>
          <w:p w14:paraId="77FA3606" w14:textId="77777777" w:rsidR="002F5AC7" w:rsidRDefault="002F5AC7" w:rsidP="00025311">
            <w:pPr>
              <w:pStyle w:val="TableParagraph"/>
              <w:spacing w:before="43"/>
              <w:ind w:left="108"/>
              <w:jc w:val="left"/>
            </w:pPr>
            <w:r>
              <w:t>Trípodes</w:t>
            </w:r>
            <w:r>
              <w:rPr>
                <w:spacing w:val="-5"/>
              </w:rPr>
              <w:t xml:space="preserve"> </w:t>
            </w:r>
            <w:r>
              <w:t>para</w:t>
            </w:r>
            <w:r>
              <w:rPr>
                <w:spacing w:val="-4"/>
              </w:rPr>
              <w:t xml:space="preserve"> </w:t>
            </w:r>
            <w:r>
              <w:rPr>
                <w:spacing w:val="-2"/>
              </w:rPr>
              <w:t>cámaras</w:t>
            </w:r>
          </w:p>
        </w:tc>
      </w:tr>
    </w:tbl>
    <w:p w14:paraId="53F2CDDC" w14:textId="77777777" w:rsidR="00572AD5" w:rsidRDefault="00572AD5">
      <w:pPr>
        <w:spacing w:after="120"/>
        <w:jc w:val="both"/>
        <w:rPr>
          <w:rFonts w:ascii="Arial" w:eastAsia="Arial" w:hAnsi="Arial" w:cs="Arial"/>
          <w:b/>
          <w:sz w:val="22"/>
          <w:szCs w:val="22"/>
        </w:rPr>
      </w:pPr>
    </w:p>
    <w:tbl>
      <w:tblPr>
        <w:tblW w:w="9209" w:type="dxa"/>
        <w:tblCellMar>
          <w:left w:w="70" w:type="dxa"/>
          <w:right w:w="70" w:type="dxa"/>
        </w:tblCellMar>
        <w:tblLook w:val="04A0" w:firstRow="1" w:lastRow="0" w:firstColumn="1" w:lastColumn="0" w:noHBand="0" w:noVBand="1"/>
      </w:tblPr>
      <w:tblGrid>
        <w:gridCol w:w="1399"/>
        <w:gridCol w:w="1183"/>
        <w:gridCol w:w="1184"/>
        <w:gridCol w:w="5443"/>
      </w:tblGrid>
      <w:tr w:rsidR="002F5AC7" w14:paraId="164BEB9F" w14:textId="77777777" w:rsidTr="002F5AC7">
        <w:trPr>
          <w:trHeight w:val="825"/>
        </w:trPr>
        <w:tc>
          <w:tcPr>
            <w:tcW w:w="1399" w:type="dxa"/>
            <w:tcBorders>
              <w:top w:val="single" w:sz="4" w:space="0" w:color="auto"/>
              <w:left w:val="single" w:sz="4" w:space="0" w:color="auto"/>
              <w:bottom w:val="single" w:sz="4" w:space="0" w:color="auto"/>
              <w:right w:val="single" w:sz="4" w:space="0" w:color="auto"/>
            </w:tcBorders>
            <w:shd w:val="clear" w:color="000000" w:fill="C5D9F0"/>
            <w:vAlign w:val="center"/>
            <w:hideMark/>
          </w:tcPr>
          <w:p w14:paraId="2DB02AB9" w14:textId="77777777" w:rsidR="002F5AC7" w:rsidRDefault="002F5AC7">
            <w:pPr>
              <w:jc w:val="center"/>
              <w:rPr>
                <w:rFonts w:ascii="Arial" w:hAnsi="Arial" w:cs="Arial"/>
                <w:b/>
                <w:bCs/>
                <w:color w:val="000000"/>
                <w:sz w:val="22"/>
                <w:szCs w:val="22"/>
              </w:rPr>
            </w:pPr>
            <w:r>
              <w:rPr>
                <w:rFonts w:ascii="Arial" w:hAnsi="Arial" w:cs="Arial"/>
                <w:b/>
                <w:bCs/>
                <w:color w:val="000000"/>
                <w:sz w:val="22"/>
                <w:szCs w:val="22"/>
                <w:lang w:val="es-ES"/>
              </w:rPr>
              <w:t>SEGMENTO</w:t>
            </w:r>
          </w:p>
        </w:tc>
        <w:tc>
          <w:tcPr>
            <w:tcW w:w="1183" w:type="dxa"/>
            <w:tcBorders>
              <w:top w:val="single" w:sz="4" w:space="0" w:color="auto"/>
              <w:left w:val="nil"/>
              <w:bottom w:val="single" w:sz="4" w:space="0" w:color="auto"/>
              <w:right w:val="single" w:sz="4" w:space="0" w:color="auto"/>
            </w:tcBorders>
            <w:shd w:val="clear" w:color="000000" w:fill="C5D9F0"/>
            <w:vAlign w:val="center"/>
            <w:hideMark/>
          </w:tcPr>
          <w:p w14:paraId="5A63B414" w14:textId="77777777" w:rsidR="002F5AC7" w:rsidRDefault="002F5AC7">
            <w:pPr>
              <w:jc w:val="center"/>
              <w:rPr>
                <w:rFonts w:ascii="Arial" w:hAnsi="Arial" w:cs="Arial"/>
                <w:b/>
                <w:bCs/>
                <w:color w:val="000000"/>
                <w:sz w:val="22"/>
                <w:szCs w:val="22"/>
              </w:rPr>
            </w:pPr>
            <w:r>
              <w:rPr>
                <w:rFonts w:ascii="Arial" w:hAnsi="Arial" w:cs="Arial"/>
                <w:b/>
                <w:bCs/>
                <w:color w:val="000000"/>
                <w:sz w:val="22"/>
                <w:szCs w:val="22"/>
                <w:lang w:val="es-ES"/>
              </w:rPr>
              <w:t>FAMILIA</w:t>
            </w:r>
          </w:p>
        </w:tc>
        <w:tc>
          <w:tcPr>
            <w:tcW w:w="1184" w:type="dxa"/>
            <w:tcBorders>
              <w:top w:val="single" w:sz="4" w:space="0" w:color="auto"/>
              <w:left w:val="nil"/>
              <w:bottom w:val="single" w:sz="4" w:space="0" w:color="auto"/>
              <w:right w:val="single" w:sz="4" w:space="0" w:color="auto"/>
            </w:tcBorders>
            <w:shd w:val="clear" w:color="000000" w:fill="C5D9F0"/>
            <w:vAlign w:val="center"/>
            <w:hideMark/>
          </w:tcPr>
          <w:p w14:paraId="3E0037EF" w14:textId="77777777" w:rsidR="002F5AC7" w:rsidRDefault="002F5AC7">
            <w:pPr>
              <w:jc w:val="center"/>
              <w:rPr>
                <w:rFonts w:ascii="Arial" w:hAnsi="Arial" w:cs="Arial"/>
                <w:b/>
                <w:bCs/>
                <w:color w:val="000000"/>
                <w:sz w:val="22"/>
                <w:szCs w:val="22"/>
              </w:rPr>
            </w:pPr>
            <w:r>
              <w:rPr>
                <w:rFonts w:ascii="Arial" w:hAnsi="Arial" w:cs="Arial"/>
                <w:b/>
                <w:bCs/>
                <w:color w:val="000000"/>
                <w:sz w:val="22"/>
                <w:szCs w:val="22"/>
                <w:lang w:val="es-ES"/>
              </w:rPr>
              <w:t>CLASES</w:t>
            </w:r>
          </w:p>
        </w:tc>
        <w:tc>
          <w:tcPr>
            <w:tcW w:w="5443" w:type="dxa"/>
            <w:tcBorders>
              <w:top w:val="single" w:sz="4" w:space="0" w:color="auto"/>
              <w:left w:val="nil"/>
              <w:bottom w:val="single" w:sz="4" w:space="0" w:color="auto"/>
              <w:right w:val="single" w:sz="4" w:space="0" w:color="auto"/>
            </w:tcBorders>
            <w:shd w:val="clear" w:color="000000" w:fill="C5D9F0"/>
            <w:vAlign w:val="center"/>
            <w:hideMark/>
          </w:tcPr>
          <w:p w14:paraId="296EAF68" w14:textId="77777777" w:rsidR="002F5AC7" w:rsidRDefault="002F5AC7">
            <w:pPr>
              <w:jc w:val="center"/>
              <w:rPr>
                <w:rFonts w:ascii="Arial" w:hAnsi="Arial" w:cs="Arial"/>
                <w:b/>
                <w:bCs/>
                <w:color w:val="000000"/>
                <w:sz w:val="22"/>
                <w:szCs w:val="22"/>
              </w:rPr>
            </w:pPr>
            <w:r>
              <w:rPr>
                <w:rFonts w:ascii="Arial" w:hAnsi="Arial" w:cs="Arial"/>
                <w:b/>
                <w:bCs/>
                <w:color w:val="000000"/>
                <w:sz w:val="22"/>
                <w:szCs w:val="22"/>
                <w:lang w:val="es-ES"/>
              </w:rPr>
              <w:t>Nombre - Producto</w:t>
            </w:r>
          </w:p>
        </w:tc>
      </w:tr>
      <w:tr w:rsidR="002F5AC7" w14:paraId="04A3BDB6"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799AE722"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52</w:t>
            </w:r>
          </w:p>
        </w:tc>
        <w:tc>
          <w:tcPr>
            <w:tcW w:w="1183" w:type="dxa"/>
            <w:tcBorders>
              <w:top w:val="nil"/>
              <w:left w:val="nil"/>
              <w:bottom w:val="single" w:sz="4" w:space="0" w:color="auto"/>
              <w:right w:val="single" w:sz="4" w:space="0" w:color="auto"/>
            </w:tcBorders>
            <w:shd w:val="clear" w:color="auto" w:fill="auto"/>
            <w:vAlign w:val="center"/>
            <w:hideMark/>
          </w:tcPr>
          <w:p w14:paraId="46A20248"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12</w:t>
            </w:r>
          </w:p>
        </w:tc>
        <w:tc>
          <w:tcPr>
            <w:tcW w:w="1184" w:type="dxa"/>
            <w:tcBorders>
              <w:top w:val="nil"/>
              <w:left w:val="nil"/>
              <w:bottom w:val="single" w:sz="4" w:space="0" w:color="auto"/>
              <w:right w:val="single" w:sz="4" w:space="0" w:color="auto"/>
            </w:tcBorders>
            <w:shd w:val="clear" w:color="auto" w:fill="auto"/>
            <w:vAlign w:val="center"/>
            <w:hideMark/>
          </w:tcPr>
          <w:p w14:paraId="503E529B"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01F3E4F8" w14:textId="77777777" w:rsidR="002F5AC7" w:rsidRDefault="002F5AC7">
            <w:pPr>
              <w:rPr>
                <w:rFonts w:ascii="Arial" w:hAnsi="Arial" w:cs="Arial"/>
                <w:color w:val="000000"/>
                <w:sz w:val="22"/>
                <w:szCs w:val="22"/>
              </w:rPr>
            </w:pPr>
            <w:r>
              <w:rPr>
                <w:rFonts w:ascii="Arial" w:hAnsi="Arial" w:cs="Arial"/>
                <w:color w:val="000000"/>
                <w:spacing w:val="-2"/>
                <w:sz w:val="22"/>
                <w:szCs w:val="22"/>
                <w:lang w:val="es-ES"/>
              </w:rPr>
              <w:t>Edredones</w:t>
            </w:r>
          </w:p>
        </w:tc>
      </w:tr>
      <w:tr w:rsidR="002F5AC7" w14:paraId="2525C969"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18B1AAC4"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42</w:t>
            </w:r>
          </w:p>
        </w:tc>
        <w:tc>
          <w:tcPr>
            <w:tcW w:w="1183" w:type="dxa"/>
            <w:tcBorders>
              <w:top w:val="nil"/>
              <w:left w:val="nil"/>
              <w:bottom w:val="single" w:sz="4" w:space="0" w:color="auto"/>
              <w:right w:val="single" w:sz="4" w:space="0" w:color="auto"/>
            </w:tcBorders>
            <w:shd w:val="clear" w:color="auto" w:fill="auto"/>
            <w:vAlign w:val="center"/>
            <w:hideMark/>
          </w:tcPr>
          <w:p w14:paraId="72F0DBC9"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32</w:t>
            </w:r>
          </w:p>
        </w:tc>
        <w:tc>
          <w:tcPr>
            <w:tcW w:w="1184" w:type="dxa"/>
            <w:tcBorders>
              <w:top w:val="nil"/>
              <w:left w:val="nil"/>
              <w:bottom w:val="single" w:sz="4" w:space="0" w:color="auto"/>
              <w:right w:val="single" w:sz="4" w:space="0" w:color="auto"/>
            </w:tcBorders>
            <w:shd w:val="clear" w:color="auto" w:fill="auto"/>
            <w:vAlign w:val="center"/>
            <w:hideMark/>
          </w:tcPr>
          <w:p w14:paraId="1D2CA0A0"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16</w:t>
            </w:r>
          </w:p>
        </w:tc>
        <w:tc>
          <w:tcPr>
            <w:tcW w:w="5443" w:type="dxa"/>
            <w:tcBorders>
              <w:top w:val="nil"/>
              <w:left w:val="nil"/>
              <w:bottom w:val="single" w:sz="4" w:space="0" w:color="auto"/>
              <w:right w:val="single" w:sz="4" w:space="0" w:color="auto"/>
            </w:tcBorders>
            <w:shd w:val="clear" w:color="auto" w:fill="auto"/>
            <w:vAlign w:val="center"/>
            <w:hideMark/>
          </w:tcPr>
          <w:p w14:paraId="541AD9E3" w14:textId="77777777" w:rsidR="002F5AC7" w:rsidRDefault="002F5AC7">
            <w:pPr>
              <w:rPr>
                <w:rFonts w:ascii="Arial" w:hAnsi="Arial" w:cs="Arial"/>
                <w:color w:val="000000"/>
                <w:sz w:val="22"/>
                <w:szCs w:val="22"/>
              </w:rPr>
            </w:pPr>
            <w:r>
              <w:rPr>
                <w:rFonts w:ascii="Arial" w:hAnsi="Arial" w:cs="Arial"/>
                <w:color w:val="000000"/>
                <w:sz w:val="22"/>
                <w:szCs w:val="22"/>
                <w:lang w:val="es-ES"/>
              </w:rPr>
              <w:t>Silla o cuna espinal</w:t>
            </w:r>
          </w:p>
        </w:tc>
      </w:tr>
      <w:tr w:rsidR="002F5AC7" w14:paraId="0BCB559E"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35AC82DC"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lastRenderedPageBreak/>
              <w:t>56</w:t>
            </w:r>
          </w:p>
        </w:tc>
        <w:tc>
          <w:tcPr>
            <w:tcW w:w="1183" w:type="dxa"/>
            <w:tcBorders>
              <w:top w:val="nil"/>
              <w:left w:val="nil"/>
              <w:bottom w:val="single" w:sz="4" w:space="0" w:color="auto"/>
              <w:right w:val="single" w:sz="4" w:space="0" w:color="auto"/>
            </w:tcBorders>
            <w:shd w:val="clear" w:color="auto" w:fill="auto"/>
            <w:vAlign w:val="center"/>
            <w:hideMark/>
          </w:tcPr>
          <w:p w14:paraId="3624F0DD"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423917F1"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2358413C" w14:textId="77777777" w:rsidR="002F5AC7" w:rsidRDefault="002F5AC7">
            <w:pPr>
              <w:rPr>
                <w:rFonts w:ascii="Arial" w:hAnsi="Arial" w:cs="Arial"/>
                <w:color w:val="000000"/>
                <w:sz w:val="22"/>
                <w:szCs w:val="22"/>
              </w:rPr>
            </w:pPr>
            <w:r>
              <w:rPr>
                <w:rFonts w:ascii="Arial" w:hAnsi="Arial" w:cs="Arial"/>
                <w:color w:val="000000"/>
                <w:sz w:val="22"/>
                <w:szCs w:val="22"/>
                <w:lang w:val="es-ES"/>
              </w:rPr>
              <w:t>Sillas de brazos</w:t>
            </w:r>
          </w:p>
        </w:tc>
      </w:tr>
      <w:tr w:rsidR="002F5AC7" w14:paraId="46C870B7"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12A0586E"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56</w:t>
            </w:r>
          </w:p>
        </w:tc>
        <w:tc>
          <w:tcPr>
            <w:tcW w:w="1183" w:type="dxa"/>
            <w:tcBorders>
              <w:top w:val="nil"/>
              <w:left w:val="nil"/>
              <w:bottom w:val="single" w:sz="4" w:space="0" w:color="auto"/>
              <w:right w:val="single" w:sz="4" w:space="0" w:color="auto"/>
            </w:tcBorders>
            <w:shd w:val="clear" w:color="auto" w:fill="auto"/>
            <w:vAlign w:val="center"/>
            <w:hideMark/>
          </w:tcPr>
          <w:p w14:paraId="2C6D391F"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753526D6"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131FD203" w14:textId="77777777" w:rsidR="002F5AC7" w:rsidRDefault="002F5AC7">
            <w:pPr>
              <w:rPr>
                <w:rFonts w:ascii="Arial" w:hAnsi="Arial" w:cs="Arial"/>
                <w:color w:val="000000"/>
                <w:sz w:val="22"/>
                <w:szCs w:val="22"/>
              </w:rPr>
            </w:pPr>
            <w:r>
              <w:rPr>
                <w:rFonts w:ascii="Arial" w:hAnsi="Arial" w:cs="Arial"/>
                <w:color w:val="000000"/>
                <w:sz w:val="22"/>
                <w:szCs w:val="22"/>
                <w:lang w:val="es-ES"/>
              </w:rPr>
              <w:t>Casilleros ("lockers"</w:t>
            </w:r>
            <w:proofErr w:type="gramStart"/>
            <w:r>
              <w:rPr>
                <w:rFonts w:ascii="Arial" w:hAnsi="Arial" w:cs="Arial"/>
                <w:color w:val="000000"/>
                <w:sz w:val="22"/>
                <w:szCs w:val="22"/>
                <w:lang w:val="es-ES"/>
              </w:rPr>
              <w:t>• )</w:t>
            </w:r>
            <w:proofErr w:type="gramEnd"/>
          </w:p>
        </w:tc>
      </w:tr>
      <w:tr w:rsidR="002F5AC7" w14:paraId="7BF12D0D"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1298FC18"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56</w:t>
            </w:r>
          </w:p>
        </w:tc>
        <w:tc>
          <w:tcPr>
            <w:tcW w:w="1183" w:type="dxa"/>
            <w:tcBorders>
              <w:top w:val="nil"/>
              <w:left w:val="nil"/>
              <w:bottom w:val="single" w:sz="4" w:space="0" w:color="auto"/>
              <w:right w:val="single" w:sz="4" w:space="0" w:color="auto"/>
            </w:tcBorders>
            <w:shd w:val="clear" w:color="auto" w:fill="auto"/>
            <w:vAlign w:val="center"/>
            <w:hideMark/>
          </w:tcPr>
          <w:p w14:paraId="120BCF82"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6A2456D6"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0F243AD1" w14:textId="77777777" w:rsidR="002F5AC7" w:rsidRDefault="002F5AC7">
            <w:pPr>
              <w:rPr>
                <w:rFonts w:ascii="Arial" w:hAnsi="Arial" w:cs="Arial"/>
                <w:color w:val="000000"/>
                <w:sz w:val="22"/>
                <w:szCs w:val="22"/>
              </w:rPr>
            </w:pPr>
            <w:r>
              <w:rPr>
                <w:rFonts w:ascii="Arial" w:hAnsi="Arial" w:cs="Arial"/>
                <w:color w:val="000000"/>
                <w:spacing w:val="-2"/>
                <w:sz w:val="22"/>
                <w:szCs w:val="22"/>
                <w:lang w:val="es-ES"/>
              </w:rPr>
              <w:t>Mesas</w:t>
            </w:r>
          </w:p>
        </w:tc>
      </w:tr>
      <w:tr w:rsidR="002F5AC7" w14:paraId="64C48590"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6E5A56B6"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48</w:t>
            </w:r>
          </w:p>
        </w:tc>
        <w:tc>
          <w:tcPr>
            <w:tcW w:w="1183" w:type="dxa"/>
            <w:tcBorders>
              <w:top w:val="nil"/>
              <w:left w:val="nil"/>
              <w:bottom w:val="single" w:sz="4" w:space="0" w:color="auto"/>
              <w:right w:val="single" w:sz="4" w:space="0" w:color="auto"/>
            </w:tcBorders>
            <w:shd w:val="clear" w:color="auto" w:fill="auto"/>
            <w:vAlign w:val="center"/>
            <w:hideMark/>
          </w:tcPr>
          <w:p w14:paraId="1ABD8239"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73399327"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20</w:t>
            </w:r>
          </w:p>
        </w:tc>
        <w:tc>
          <w:tcPr>
            <w:tcW w:w="5443" w:type="dxa"/>
            <w:tcBorders>
              <w:top w:val="nil"/>
              <w:left w:val="nil"/>
              <w:bottom w:val="single" w:sz="4" w:space="0" w:color="auto"/>
              <w:right w:val="single" w:sz="4" w:space="0" w:color="auto"/>
            </w:tcBorders>
            <w:shd w:val="clear" w:color="auto" w:fill="auto"/>
            <w:vAlign w:val="center"/>
            <w:hideMark/>
          </w:tcPr>
          <w:p w14:paraId="02CF4631" w14:textId="77777777" w:rsidR="002F5AC7" w:rsidRDefault="002F5AC7">
            <w:pPr>
              <w:rPr>
                <w:rFonts w:ascii="Arial" w:hAnsi="Arial" w:cs="Arial"/>
                <w:color w:val="000000"/>
                <w:sz w:val="22"/>
                <w:szCs w:val="22"/>
              </w:rPr>
            </w:pPr>
            <w:r>
              <w:rPr>
                <w:rFonts w:ascii="Arial" w:hAnsi="Arial" w:cs="Arial"/>
                <w:color w:val="000000"/>
                <w:sz w:val="22"/>
                <w:szCs w:val="22"/>
                <w:lang w:val="es-ES"/>
              </w:rPr>
              <w:t>Sillas para restaurantes</w:t>
            </w:r>
          </w:p>
        </w:tc>
      </w:tr>
      <w:tr w:rsidR="002F5AC7" w14:paraId="3B996AA4"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6244D542"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52</w:t>
            </w:r>
          </w:p>
        </w:tc>
        <w:tc>
          <w:tcPr>
            <w:tcW w:w="1183" w:type="dxa"/>
            <w:tcBorders>
              <w:top w:val="nil"/>
              <w:left w:val="nil"/>
              <w:bottom w:val="single" w:sz="4" w:space="0" w:color="auto"/>
              <w:right w:val="single" w:sz="4" w:space="0" w:color="auto"/>
            </w:tcBorders>
            <w:shd w:val="clear" w:color="auto" w:fill="auto"/>
            <w:vAlign w:val="center"/>
            <w:hideMark/>
          </w:tcPr>
          <w:p w14:paraId="05B61DB2"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14</w:t>
            </w:r>
          </w:p>
        </w:tc>
        <w:tc>
          <w:tcPr>
            <w:tcW w:w="1184" w:type="dxa"/>
            <w:tcBorders>
              <w:top w:val="nil"/>
              <w:left w:val="nil"/>
              <w:bottom w:val="single" w:sz="4" w:space="0" w:color="auto"/>
              <w:right w:val="single" w:sz="4" w:space="0" w:color="auto"/>
            </w:tcBorders>
            <w:shd w:val="clear" w:color="auto" w:fill="auto"/>
            <w:vAlign w:val="center"/>
            <w:hideMark/>
          </w:tcPr>
          <w:p w14:paraId="369DEB8A"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16</w:t>
            </w:r>
          </w:p>
        </w:tc>
        <w:tc>
          <w:tcPr>
            <w:tcW w:w="5443" w:type="dxa"/>
            <w:tcBorders>
              <w:top w:val="nil"/>
              <w:left w:val="nil"/>
              <w:bottom w:val="single" w:sz="4" w:space="0" w:color="auto"/>
              <w:right w:val="single" w:sz="4" w:space="0" w:color="auto"/>
            </w:tcBorders>
            <w:shd w:val="clear" w:color="auto" w:fill="auto"/>
            <w:vAlign w:val="center"/>
            <w:hideMark/>
          </w:tcPr>
          <w:p w14:paraId="6361D79C" w14:textId="77777777" w:rsidR="002F5AC7" w:rsidRDefault="002F5AC7">
            <w:pPr>
              <w:rPr>
                <w:rFonts w:ascii="Arial" w:hAnsi="Arial" w:cs="Arial"/>
                <w:color w:val="000000"/>
                <w:sz w:val="22"/>
                <w:szCs w:val="22"/>
              </w:rPr>
            </w:pPr>
            <w:r>
              <w:rPr>
                <w:rFonts w:ascii="Arial" w:hAnsi="Arial" w:cs="Arial"/>
                <w:color w:val="000000"/>
                <w:sz w:val="22"/>
                <w:szCs w:val="22"/>
                <w:lang w:val="es-ES"/>
              </w:rPr>
              <w:t>Plancha de vapor para ropa</w:t>
            </w:r>
          </w:p>
        </w:tc>
      </w:tr>
      <w:tr w:rsidR="002F5AC7" w14:paraId="47CC06E6"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079CEFCC"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45</w:t>
            </w:r>
          </w:p>
        </w:tc>
        <w:tc>
          <w:tcPr>
            <w:tcW w:w="1183" w:type="dxa"/>
            <w:tcBorders>
              <w:top w:val="nil"/>
              <w:left w:val="nil"/>
              <w:bottom w:val="single" w:sz="4" w:space="0" w:color="auto"/>
              <w:right w:val="single" w:sz="4" w:space="0" w:color="auto"/>
            </w:tcBorders>
            <w:shd w:val="clear" w:color="auto" w:fill="auto"/>
            <w:vAlign w:val="center"/>
            <w:hideMark/>
          </w:tcPr>
          <w:p w14:paraId="2AA80CE6"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11</w:t>
            </w:r>
          </w:p>
        </w:tc>
        <w:tc>
          <w:tcPr>
            <w:tcW w:w="1184" w:type="dxa"/>
            <w:tcBorders>
              <w:top w:val="nil"/>
              <w:left w:val="nil"/>
              <w:bottom w:val="single" w:sz="4" w:space="0" w:color="auto"/>
              <w:right w:val="single" w:sz="4" w:space="0" w:color="auto"/>
            </w:tcBorders>
            <w:shd w:val="clear" w:color="auto" w:fill="auto"/>
            <w:vAlign w:val="center"/>
            <w:hideMark/>
          </w:tcPr>
          <w:p w14:paraId="0C039858"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18</w:t>
            </w:r>
          </w:p>
        </w:tc>
        <w:tc>
          <w:tcPr>
            <w:tcW w:w="5443" w:type="dxa"/>
            <w:tcBorders>
              <w:top w:val="nil"/>
              <w:left w:val="nil"/>
              <w:bottom w:val="single" w:sz="4" w:space="0" w:color="auto"/>
              <w:right w:val="single" w:sz="4" w:space="0" w:color="auto"/>
            </w:tcBorders>
            <w:shd w:val="clear" w:color="auto" w:fill="auto"/>
            <w:vAlign w:val="center"/>
            <w:hideMark/>
          </w:tcPr>
          <w:p w14:paraId="00F811B5" w14:textId="77777777" w:rsidR="002F5AC7" w:rsidRDefault="002F5AC7">
            <w:pPr>
              <w:rPr>
                <w:rFonts w:ascii="Arial" w:hAnsi="Arial" w:cs="Arial"/>
                <w:color w:val="000000"/>
                <w:sz w:val="22"/>
                <w:szCs w:val="22"/>
              </w:rPr>
            </w:pPr>
            <w:r>
              <w:rPr>
                <w:rFonts w:ascii="Arial" w:hAnsi="Arial" w:cs="Arial"/>
                <w:color w:val="000000"/>
                <w:sz w:val="22"/>
                <w:szCs w:val="22"/>
                <w:lang w:val="es-ES"/>
              </w:rPr>
              <w:t>Soportes para televisiones</w:t>
            </w:r>
          </w:p>
        </w:tc>
      </w:tr>
      <w:tr w:rsidR="002F5AC7" w14:paraId="5AEFFB15"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79317D98"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56</w:t>
            </w:r>
          </w:p>
        </w:tc>
        <w:tc>
          <w:tcPr>
            <w:tcW w:w="1183" w:type="dxa"/>
            <w:tcBorders>
              <w:top w:val="nil"/>
              <w:left w:val="nil"/>
              <w:bottom w:val="single" w:sz="4" w:space="0" w:color="auto"/>
              <w:right w:val="single" w:sz="4" w:space="0" w:color="auto"/>
            </w:tcBorders>
            <w:shd w:val="clear" w:color="auto" w:fill="auto"/>
            <w:vAlign w:val="center"/>
            <w:hideMark/>
          </w:tcPr>
          <w:p w14:paraId="7AAC25EE"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12</w:t>
            </w:r>
          </w:p>
        </w:tc>
        <w:tc>
          <w:tcPr>
            <w:tcW w:w="1184" w:type="dxa"/>
            <w:tcBorders>
              <w:top w:val="nil"/>
              <w:left w:val="nil"/>
              <w:bottom w:val="single" w:sz="4" w:space="0" w:color="auto"/>
              <w:right w:val="single" w:sz="4" w:space="0" w:color="auto"/>
            </w:tcBorders>
            <w:shd w:val="clear" w:color="auto" w:fill="auto"/>
            <w:vAlign w:val="center"/>
            <w:hideMark/>
          </w:tcPr>
          <w:p w14:paraId="39380316"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18</w:t>
            </w:r>
          </w:p>
        </w:tc>
        <w:tc>
          <w:tcPr>
            <w:tcW w:w="5443" w:type="dxa"/>
            <w:tcBorders>
              <w:top w:val="nil"/>
              <w:left w:val="nil"/>
              <w:bottom w:val="single" w:sz="4" w:space="0" w:color="auto"/>
              <w:right w:val="single" w:sz="4" w:space="0" w:color="auto"/>
            </w:tcBorders>
            <w:shd w:val="clear" w:color="auto" w:fill="auto"/>
            <w:vAlign w:val="center"/>
            <w:hideMark/>
          </w:tcPr>
          <w:p w14:paraId="34DB44ED" w14:textId="77777777" w:rsidR="002F5AC7" w:rsidRDefault="002F5AC7">
            <w:pPr>
              <w:rPr>
                <w:rFonts w:ascii="Arial" w:hAnsi="Arial" w:cs="Arial"/>
                <w:color w:val="000000"/>
                <w:sz w:val="22"/>
                <w:szCs w:val="22"/>
              </w:rPr>
            </w:pPr>
            <w:r>
              <w:rPr>
                <w:rFonts w:ascii="Arial" w:hAnsi="Arial" w:cs="Arial"/>
                <w:color w:val="000000"/>
                <w:spacing w:val="-2"/>
                <w:sz w:val="22"/>
                <w:szCs w:val="22"/>
                <w:lang w:val="es-ES"/>
              </w:rPr>
              <w:t>Archivadores</w:t>
            </w:r>
          </w:p>
        </w:tc>
      </w:tr>
      <w:tr w:rsidR="002F5AC7" w14:paraId="3A1319BA"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43803D4E"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24</w:t>
            </w:r>
          </w:p>
        </w:tc>
        <w:tc>
          <w:tcPr>
            <w:tcW w:w="1183" w:type="dxa"/>
            <w:tcBorders>
              <w:top w:val="nil"/>
              <w:left w:val="nil"/>
              <w:bottom w:val="single" w:sz="4" w:space="0" w:color="auto"/>
              <w:right w:val="single" w:sz="4" w:space="0" w:color="auto"/>
            </w:tcBorders>
            <w:shd w:val="clear" w:color="auto" w:fill="auto"/>
            <w:vAlign w:val="center"/>
            <w:hideMark/>
          </w:tcPr>
          <w:p w14:paraId="29BCA9A9"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13</w:t>
            </w:r>
          </w:p>
        </w:tc>
        <w:tc>
          <w:tcPr>
            <w:tcW w:w="1184" w:type="dxa"/>
            <w:tcBorders>
              <w:top w:val="nil"/>
              <w:left w:val="nil"/>
              <w:bottom w:val="single" w:sz="4" w:space="0" w:color="auto"/>
              <w:right w:val="single" w:sz="4" w:space="0" w:color="auto"/>
            </w:tcBorders>
            <w:shd w:val="clear" w:color="auto" w:fill="auto"/>
            <w:vAlign w:val="center"/>
            <w:hideMark/>
          </w:tcPr>
          <w:p w14:paraId="45C58772"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0</w:t>
            </w:r>
          </w:p>
        </w:tc>
        <w:tc>
          <w:tcPr>
            <w:tcW w:w="5443" w:type="dxa"/>
            <w:tcBorders>
              <w:top w:val="nil"/>
              <w:left w:val="nil"/>
              <w:bottom w:val="single" w:sz="4" w:space="0" w:color="auto"/>
              <w:right w:val="single" w:sz="4" w:space="0" w:color="auto"/>
            </w:tcBorders>
            <w:shd w:val="clear" w:color="auto" w:fill="auto"/>
            <w:vAlign w:val="center"/>
            <w:hideMark/>
          </w:tcPr>
          <w:p w14:paraId="45E9EC17" w14:textId="77777777" w:rsidR="002F5AC7" w:rsidRDefault="002F5AC7">
            <w:pPr>
              <w:rPr>
                <w:rFonts w:ascii="Arial" w:hAnsi="Arial" w:cs="Arial"/>
                <w:color w:val="000000"/>
                <w:sz w:val="22"/>
                <w:szCs w:val="22"/>
              </w:rPr>
            </w:pPr>
            <w:r>
              <w:rPr>
                <w:rFonts w:ascii="Arial" w:hAnsi="Arial" w:cs="Arial"/>
                <w:color w:val="000000"/>
                <w:sz w:val="22"/>
                <w:szCs w:val="22"/>
                <w:lang w:val="es-ES"/>
              </w:rPr>
              <w:t>Refrigeración industrial</w:t>
            </w:r>
          </w:p>
        </w:tc>
      </w:tr>
      <w:tr w:rsidR="002F5AC7" w14:paraId="0C746B7B"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09CED994"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56</w:t>
            </w:r>
          </w:p>
        </w:tc>
        <w:tc>
          <w:tcPr>
            <w:tcW w:w="1183" w:type="dxa"/>
            <w:tcBorders>
              <w:top w:val="nil"/>
              <w:left w:val="nil"/>
              <w:bottom w:val="single" w:sz="4" w:space="0" w:color="auto"/>
              <w:right w:val="single" w:sz="4" w:space="0" w:color="auto"/>
            </w:tcBorders>
            <w:shd w:val="clear" w:color="auto" w:fill="auto"/>
            <w:vAlign w:val="center"/>
            <w:hideMark/>
          </w:tcPr>
          <w:p w14:paraId="5F7DB08C"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73EAC405"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106EF9DE" w14:textId="77777777" w:rsidR="002F5AC7" w:rsidRDefault="002F5AC7">
            <w:pPr>
              <w:rPr>
                <w:rFonts w:ascii="Arial" w:hAnsi="Arial" w:cs="Arial"/>
                <w:color w:val="000000"/>
                <w:sz w:val="22"/>
                <w:szCs w:val="22"/>
              </w:rPr>
            </w:pPr>
            <w:r>
              <w:rPr>
                <w:rFonts w:ascii="Arial" w:hAnsi="Arial" w:cs="Arial"/>
                <w:color w:val="000000"/>
                <w:spacing w:val="-2"/>
                <w:sz w:val="22"/>
                <w:szCs w:val="22"/>
                <w:lang w:val="es-ES"/>
              </w:rPr>
              <w:t>Camas</w:t>
            </w:r>
          </w:p>
        </w:tc>
      </w:tr>
      <w:tr w:rsidR="002F5AC7" w14:paraId="783EBBAF" w14:textId="77777777" w:rsidTr="002F5AC7">
        <w:trPr>
          <w:trHeight w:val="30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694BF924"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56</w:t>
            </w:r>
          </w:p>
        </w:tc>
        <w:tc>
          <w:tcPr>
            <w:tcW w:w="1183" w:type="dxa"/>
            <w:tcBorders>
              <w:top w:val="nil"/>
              <w:left w:val="nil"/>
              <w:bottom w:val="single" w:sz="4" w:space="0" w:color="auto"/>
              <w:right w:val="single" w:sz="4" w:space="0" w:color="auto"/>
            </w:tcBorders>
            <w:shd w:val="clear" w:color="auto" w:fill="auto"/>
            <w:vAlign w:val="center"/>
            <w:hideMark/>
          </w:tcPr>
          <w:p w14:paraId="22A1C168"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10</w:t>
            </w:r>
          </w:p>
        </w:tc>
        <w:tc>
          <w:tcPr>
            <w:tcW w:w="1184" w:type="dxa"/>
            <w:tcBorders>
              <w:top w:val="nil"/>
              <w:left w:val="nil"/>
              <w:bottom w:val="single" w:sz="4" w:space="0" w:color="auto"/>
              <w:right w:val="single" w:sz="4" w:space="0" w:color="auto"/>
            </w:tcBorders>
            <w:shd w:val="clear" w:color="auto" w:fill="auto"/>
            <w:vAlign w:val="center"/>
            <w:hideMark/>
          </w:tcPr>
          <w:p w14:paraId="328578C4"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15</w:t>
            </w:r>
          </w:p>
        </w:tc>
        <w:tc>
          <w:tcPr>
            <w:tcW w:w="5443" w:type="dxa"/>
            <w:tcBorders>
              <w:top w:val="nil"/>
              <w:left w:val="nil"/>
              <w:bottom w:val="single" w:sz="4" w:space="0" w:color="auto"/>
              <w:right w:val="single" w:sz="4" w:space="0" w:color="auto"/>
            </w:tcBorders>
            <w:shd w:val="clear" w:color="auto" w:fill="auto"/>
            <w:vAlign w:val="center"/>
            <w:hideMark/>
          </w:tcPr>
          <w:p w14:paraId="4576C3B4" w14:textId="77777777" w:rsidR="002F5AC7" w:rsidRDefault="002F5AC7">
            <w:pPr>
              <w:rPr>
                <w:rFonts w:ascii="Arial" w:hAnsi="Arial" w:cs="Arial"/>
                <w:color w:val="000000"/>
                <w:sz w:val="22"/>
                <w:szCs w:val="22"/>
              </w:rPr>
            </w:pPr>
            <w:r>
              <w:rPr>
                <w:rFonts w:ascii="Arial" w:hAnsi="Arial" w:cs="Arial"/>
                <w:color w:val="000000"/>
                <w:spacing w:val="-2"/>
                <w:sz w:val="22"/>
                <w:szCs w:val="22"/>
                <w:lang w:val="es-ES"/>
              </w:rPr>
              <w:t>Espejos</w:t>
            </w:r>
          </w:p>
        </w:tc>
      </w:tr>
      <w:tr w:rsidR="002F5AC7" w14:paraId="4BDC1707" w14:textId="77777777" w:rsidTr="002F5AC7">
        <w:trPr>
          <w:trHeight w:val="750"/>
        </w:trPr>
        <w:tc>
          <w:tcPr>
            <w:tcW w:w="1399" w:type="dxa"/>
            <w:tcBorders>
              <w:top w:val="nil"/>
              <w:left w:val="single" w:sz="4" w:space="0" w:color="auto"/>
              <w:bottom w:val="single" w:sz="4" w:space="0" w:color="auto"/>
              <w:right w:val="single" w:sz="4" w:space="0" w:color="auto"/>
            </w:tcBorders>
            <w:shd w:val="clear" w:color="auto" w:fill="auto"/>
            <w:vAlign w:val="center"/>
            <w:hideMark/>
          </w:tcPr>
          <w:p w14:paraId="19B32CFA"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73</w:t>
            </w:r>
          </w:p>
        </w:tc>
        <w:tc>
          <w:tcPr>
            <w:tcW w:w="1183" w:type="dxa"/>
            <w:tcBorders>
              <w:top w:val="nil"/>
              <w:left w:val="nil"/>
              <w:bottom w:val="single" w:sz="4" w:space="0" w:color="auto"/>
              <w:right w:val="single" w:sz="4" w:space="0" w:color="auto"/>
            </w:tcBorders>
            <w:shd w:val="clear" w:color="auto" w:fill="auto"/>
            <w:vAlign w:val="center"/>
            <w:hideMark/>
          </w:tcPr>
          <w:p w14:paraId="09D124CD"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11</w:t>
            </w:r>
          </w:p>
        </w:tc>
        <w:tc>
          <w:tcPr>
            <w:tcW w:w="1184" w:type="dxa"/>
            <w:tcBorders>
              <w:top w:val="nil"/>
              <w:left w:val="nil"/>
              <w:bottom w:val="single" w:sz="4" w:space="0" w:color="auto"/>
              <w:right w:val="single" w:sz="4" w:space="0" w:color="auto"/>
            </w:tcBorders>
            <w:shd w:val="clear" w:color="auto" w:fill="auto"/>
            <w:vAlign w:val="center"/>
            <w:hideMark/>
          </w:tcPr>
          <w:p w14:paraId="377D85DE" w14:textId="77777777" w:rsidR="002F5AC7" w:rsidRDefault="002F5AC7">
            <w:pPr>
              <w:jc w:val="center"/>
              <w:rPr>
                <w:rFonts w:ascii="Arial" w:hAnsi="Arial" w:cs="Arial"/>
                <w:color w:val="000000"/>
                <w:sz w:val="22"/>
                <w:szCs w:val="22"/>
              </w:rPr>
            </w:pPr>
            <w:r>
              <w:rPr>
                <w:rFonts w:ascii="Arial" w:hAnsi="Arial" w:cs="Arial"/>
                <w:color w:val="000000"/>
                <w:spacing w:val="-5"/>
                <w:sz w:val="22"/>
                <w:szCs w:val="22"/>
                <w:lang w:val="es-ES"/>
              </w:rPr>
              <w:t>16</w:t>
            </w:r>
          </w:p>
        </w:tc>
        <w:tc>
          <w:tcPr>
            <w:tcW w:w="5443" w:type="dxa"/>
            <w:tcBorders>
              <w:top w:val="nil"/>
              <w:left w:val="nil"/>
              <w:bottom w:val="single" w:sz="4" w:space="0" w:color="auto"/>
              <w:right w:val="single" w:sz="4" w:space="0" w:color="auto"/>
            </w:tcBorders>
            <w:shd w:val="clear" w:color="auto" w:fill="auto"/>
            <w:vAlign w:val="center"/>
            <w:hideMark/>
          </w:tcPr>
          <w:p w14:paraId="658574BB" w14:textId="77777777" w:rsidR="002F5AC7" w:rsidRDefault="002F5AC7">
            <w:pPr>
              <w:rPr>
                <w:rFonts w:ascii="Arial" w:hAnsi="Arial" w:cs="Arial"/>
                <w:color w:val="000000"/>
                <w:sz w:val="22"/>
                <w:szCs w:val="22"/>
              </w:rPr>
            </w:pPr>
            <w:r>
              <w:rPr>
                <w:rFonts w:ascii="Arial" w:hAnsi="Arial" w:cs="Arial"/>
                <w:color w:val="000000"/>
                <w:sz w:val="22"/>
                <w:szCs w:val="22"/>
                <w:lang w:val="es-ES"/>
              </w:rPr>
              <w:t>Servicios de producción de tabla de madera dura o de fibra</w:t>
            </w:r>
          </w:p>
        </w:tc>
      </w:tr>
    </w:tbl>
    <w:p w14:paraId="5F03226E" w14:textId="77777777" w:rsidR="002F5AC7" w:rsidRDefault="002F5AC7">
      <w:pPr>
        <w:spacing w:after="120"/>
        <w:jc w:val="both"/>
        <w:rPr>
          <w:rFonts w:ascii="Arial" w:eastAsia="Arial" w:hAnsi="Arial" w:cs="Arial"/>
          <w:b/>
          <w:sz w:val="22"/>
          <w:szCs w:val="22"/>
        </w:rPr>
      </w:pPr>
    </w:p>
    <w:p w14:paraId="24D051F5" w14:textId="77777777" w:rsidR="00572AD5" w:rsidRDefault="00000000">
      <w:pPr>
        <w:numPr>
          <w:ilvl w:val="0"/>
          <w:numId w:val="27"/>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b/>
          <w:color w:val="000000"/>
          <w:sz w:val="22"/>
          <w:szCs w:val="22"/>
        </w:rPr>
        <w:t>ESPECIFICACIONES TÉCNICAS Y/O ESENCIALES DEL SERVICIO</w:t>
      </w:r>
    </w:p>
    <w:p w14:paraId="2E747598" w14:textId="77777777" w:rsidR="00D95A37" w:rsidRDefault="00000000" w:rsidP="00D95A37">
      <w:pPr>
        <w:jc w:val="both"/>
        <w:rPr>
          <w:rFonts w:ascii="Arial" w:eastAsia="Arial" w:hAnsi="Arial" w:cs="Arial"/>
          <w:b/>
          <w:sz w:val="22"/>
          <w:szCs w:val="22"/>
        </w:rPr>
      </w:pPr>
      <w:r>
        <w:rPr>
          <w:rFonts w:ascii="Arial" w:eastAsia="Arial" w:hAnsi="Arial" w:cs="Arial"/>
          <w:sz w:val="22"/>
          <w:szCs w:val="22"/>
        </w:rPr>
        <w:t xml:space="preserve">El artículo 27 del Decreto 249 de 2004, señala las funciones que deben desarrollar las subdirecciones de centro para planear, programar y ejecutar todos los procesos mencionados anteriormente, entre ellas Administrar y ejecutar todos los procesos de contratación del Centro”. Con estas justificaciones el Centro Agropecuario La Granja, desarrolló su plan de acción el cual contempla: </w:t>
      </w:r>
      <w:r w:rsidR="00D95A37" w:rsidRPr="00222747">
        <w:rPr>
          <w:rFonts w:ascii="Arial" w:eastAsia="Arial" w:hAnsi="Arial" w:cs="Arial"/>
          <w:b/>
          <w:sz w:val="22"/>
          <w:szCs w:val="22"/>
        </w:rPr>
        <w:t>“CONTRATAR LA COMPRA DE EQUIPOS, MÁQUINAS Y MOBILIARIO PARA EL GIMNASIO Y LOS AMBIENTES DEL CENTRO DE CONVIVENCIA DEL CENTRO AGROPECUARIO LA GRANJA, UBICADO EN EL ESPINAL, CON EL PROPÓSITO DE FORTALECER LAS CONDICIONES DE BIENESTAR AL APRENDIZ, PARA LA VIGENCIA 2025”.</w:t>
      </w:r>
    </w:p>
    <w:p w14:paraId="7CFCEA8B" w14:textId="77777777" w:rsidR="00D95A37" w:rsidRDefault="00D95A37" w:rsidP="00D95A37">
      <w:pPr>
        <w:jc w:val="both"/>
        <w:rPr>
          <w:rFonts w:ascii="Arial" w:eastAsia="Arial" w:hAnsi="Arial" w:cs="Arial"/>
          <w:b/>
          <w:sz w:val="22"/>
          <w:szCs w:val="22"/>
        </w:rPr>
      </w:pPr>
    </w:p>
    <w:p w14:paraId="47FE1CE0" w14:textId="47C1096D" w:rsidR="00572AD5" w:rsidRDefault="00000000" w:rsidP="00D95A37">
      <w:pPr>
        <w:jc w:val="both"/>
        <w:rPr>
          <w:rFonts w:ascii="Arial" w:eastAsia="Arial" w:hAnsi="Arial" w:cs="Arial"/>
          <w:sz w:val="22"/>
          <w:szCs w:val="22"/>
        </w:rPr>
      </w:pPr>
      <w:r>
        <w:rPr>
          <w:rFonts w:ascii="Arial" w:eastAsia="Arial" w:hAnsi="Arial" w:cs="Arial"/>
          <w:sz w:val="22"/>
          <w:szCs w:val="22"/>
        </w:rPr>
        <w:t xml:space="preserve">Respondiendo a la estrategia institucional anteriormente expuesta, el Centro Agropecuario La Granja Sena del El Espinal Tolima, para garantizar los servicios de formación profesional integral que se imparten en el Centro a la población rural y urbana de los diferentes municipios del departamento del Tolima y del país a través de las óptimas condiciones de </w:t>
      </w:r>
      <w:r w:rsidR="00D95A37">
        <w:rPr>
          <w:rFonts w:ascii="Arial" w:eastAsia="Arial" w:hAnsi="Arial" w:cs="Arial"/>
          <w:sz w:val="22"/>
          <w:szCs w:val="22"/>
        </w:rPr>
        <w:t>bienestar físico y mental para sus aprendices</w:t>
      </w:r>
      <w:r>
        <w:rPr>
          <w:rFonts w:ascii="Arial" w:eastAsia="Arial" w:hAnsi="Arial" w:cs="Arial"/>
          <w:sz w:val="22"/>
          <w:szCs w:val="22"/>
        </w:rPr>
        <w:t>, se  requiere</w:t>
      </w:r>
      <w:r w:rsidR="00D95A37">
        <w:rPr>
          <w:rFonts w:ascii="Arial" w:eastAsia="Arial" w:hAnsi="Arial" w:cs="Arial"/>
          <w:sz w:val="22"/>
          <w:szCs w:val="22"/>
        </w:rPr>
        <w:t xml:space="preserve"> la adquisición de equipos, maquinaria y mobiliario para mejorar y modernizar el gimnasio y centro de convivencia del Centro </w:t>
      </w:r>
      <w:r>
        <w:rPr>
          <w:rFonts w:ascii="Arial" w:eastAsia="Arial" w:hAnsi="Arial" w:cs="Arial"/>
          <w:sz w:val="22"/>
          <w:szCs w:val="22"/>
        </w:rPr>
        <w:t>descritas anteriormente</w:t>
      </w:r>
      <w:r w:rsidR="005F4D86">
        <w:rPr>
          <w:rFonts w:ascii="Arial" w:eastAsia="Arial" w:hAnsi="Arial" w:cs="Arial"/>
          <w:sz w:val="22"/>
          <w:szCs w:val="22"/>
        </w:rPr>
        <w:t>.</w:t>
      </w:r>
    </w:p>
    <w:p w14:paraId="7AA69051" w14:textId="77777777" w:rsidR="00572AD5" w:rsidRDefault="00572AD5">
      <w:pPr>
        <w:spacing w:line="276" w:lineRule="auto"/>
        <w:jc w:val="both"/>
        <w:rPr>
          <w:rFonts w:ascii="Arial" w:eastAsia="Arial" w:hAnsi="Arial" w:cs="Arial"/>
          <w:sz w:val="22"/>
          <w:szCs w:val="22"/>
        </w:rPr>
      </w:pPr>
    </w:p>
    <w:p w14:paraId="62FB768C" w14:textId="445A4B11"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consecuencia, es de vital importancia contratar </w:t>
      </w:r>
      <w:r w:rsidR="005F4D86">
        <w:rPr>
          <w:rFonts w:ascii="Arial" w:eastAsia="Arial" w:hAnsi="Arial" w:cs="Arial"/>
          <w:sz w:val="22"/>
          <w:szCs w:val="22"/>
        </w:rPr>
        <w:t>la adquisición de equipos, maquinaria y mobiliario para mejorar y modernizar el gimnasio y centro de convivencia del Centro descritas anteriormente.</w:t>
      </w:r>
      <w:r>
        <w:rPr>
          <w:rFonts w:ascii="Arial" w:eastAsia="Arial" w:hAnsi="Arial" w:cs="Arial"/>
          <w:sz w:val="22"/>
          <w:szCs w:val="22"/>
        </w:rPr>
        <w:t xml:space="preserve">, el cual incluye la ejecución de las actividades de acuerdo con las siguientes especificaciones: </w:t>
      </w:r>
    </w:p>
    <w:p w14:paraId="63FFD444" w14:textId="77777777" w:rsidR="00572AD5" w:rsidRDefault="00572AD5">
      <w:pPr>
        <w:spacing w:line="276" w:lineRule="auto"/>
        <w:jc w:val="both"/>
        <w:rPr>
          <w:rFonts w:ascii="Arial" w:eastAsia="Arial" w:hAnsi="Arial" w:cs="Arial"/>
          <w:sz w:val="22"/>
          <w:szCs w:val="22"/>
        </w:rPr>
      </w:pPr>
    </w:p>
    <w:p w14:paraId="687F14C2" w14:textId="46172A11" w:rsidR="00572AD5" w:rsidRPr="00E71FC5" w:rsidRDefault="00E71FC5" w:rsidP="00E71FC5">
      <w:pPr>
        <w:spacing w:line="276" w:lineRule="auto"/>
        <w:jc w:val="center"/>
        <w:rPr>
          <w:rFonts w:ascii="Arial" w:eastAsia="Arial" w:hAnsi="Arial" w:cs="Arial"/>
          <w:b/>
          <w:bCs/>
          <w:sz w:val="22"/>
          <w:szCs w:val="22"/>
        </w:rPr>
      </w:pPr>
      <w:r w:rsidRPr="00E71FC5">
        <w:rPr>
          <w:rFonts w:ascii="Arial" w:eastAsia="Arial" w:hAnsi="Arial" w:cs="Arial"/>
          <w:b/>
          <w:bCs/>
          <w:sz w:val="22"/>
          <w:szCs w:val="22"/>
        </w:rPr>
        <w:t>LOTE 1</w:t>
      </w:r>
    </w:p>
    <w:p w14:paraId="6E4C516E" w14:textId="77777777" w:rsidR="00572AD5" w:rsidRDefault="00572AD5">
      <w:pPr>
        <w:spacing w:line="276" w:lineRule="auto"/>
        <w:jc w:val="both"/>
        <w:rPr>
          <w:rFonts w:ascii="Arial" w:eastAsia="Arial" w:hAnsi="Arial" w:cs="Arial"/>
          <w:sz w:val="22"/>
          <w:szCs w:val="22"/>
        </w:rPr>
      </w:pPr>
    </w:p>
    <w:tbl>
      <w:tblPr>
        <w:tblStyle w:val="Tablaconcuadrcula"/>
        <w:tblW w:w="9775" w:type="dxa"/>
        <w:tblLook w:val="04A0" w:firstRow="1" w:lastRow="0" w:firstColumn="1" w:lastColumn="0" w:noHBand="0" w:noVBand="1"/>
      </w:tblPr>
      <w:tblGrid>
        <w:gridCol w:w="684"/>
        <w:gridCol w:w="1109"/>
        <w:gridCol w:w="3821"/>
        <w:gridCol w:w="1189"/>
        <w:gridCol w:w="985"/>
        <w:gridCol w:w="1137"/>
        <w:gridCol w:w="1137"/>
      </w:tblGrid>
      <w:tr w:rsidR="00E71FC5" w:rsidRPr="00E71FC5" w14:paraId="78AFE8A4" w14:textId="77777777" w:rsidTr="00E71FC5">
        <w:trPr>
          <w:trHeight w:val="900"/>
        </w:trPr>
        <w:tc>
          <w:tcPr>
            <w:tcW w:w="684" w:type="dxa"/>
            <w:shd w:val="clear" w:color="auto" w:fill="C6D9F1" w:themeFill="text2" w:themeFillTint="33"/>
            <w:hideMark/>
          </w:tcPr>
          <w:p w14:paraId="65C79323"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ITEM</w:t>
            </w:r>
          </w:p>
        </w:tc>
        <w:tc>
          <w:tcPr>
            <w:tcW w:w="1109" w:type="dxa"/>
            <w:shd w:val="clear" w:color="auto" w:fill="C6D9F1" w:themeFill="text2" w:themeFillTint="33"/>
            <w:hideMark/>
          </w:tcPr>
          <w:p w14:paraId="3464A432" w14:textId="0B350AE1"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CODIGO UNSPSC</w:t>
            </w:r>
          </w:p>
        </w:tc>
        <w:tc>
          <w:tcPr>
            <w:tcW w:w="3821" w:type="dxa"/>
            <w:shd w:val="clear" w:color="auto" w:fill="C6D9F1" w:themeFill="text2" w:themeFillTint="33"/>
            <w:hideMark/>
          </w:tcPr>
          <w:p w14:paraId="13FBDD05"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DESCRIPCION DEL BIEN</w:t>
            </w:r>
          </w:p>
        </w:tc>
        <w:tc>
          <w:tcPr>
            <w:tcW w:w="902" w:type="dxa"/>
            <w:shd w:val="clear" w:color="auto" w:fill="C6D9F1" w:themeFill="text2" w:themeFillTint="33"/>
            <w:hideMark/>
          </w:tcPr>
          <w:p w14:paraId="405ACDE7"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CANTIDAD</w:t>
            </w:r>
          </w:p>
        </w:tc>
        <w:tc>
          <w:tcPr>
            <w:tcW w:w="985" w:type="dxa"/>
            <w:shd w:val="clear" w:color="auto" w:fill="C6D9F1" w:themeFill="text2" w:themeFillTint="33"/>
            <w:hideMark/>
          </w:tcPr>
          <w:p w14:paraId="7699DC86"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UNIDAD DE MEDIDA</w:t>
            </w:r>
          </w:p>
        </w:tc>
        <w:tc>
          <w:tcPr>
            <w:tcW w:w="1137" w:type="dxa"/>
            <w:shd w:val="clear" w:color="auto" w:fill="C6D9F1" w:themeFill="text2" w:themeFillTint="33"/>
            <w:hideMark/>
          </w:tcPr>
          <w:p w14:paraId="07ADF712"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VALOR UNITARIO</w:t>
            </w:r>
          </w:p>
        </w:tc>
        <w:tc>
          <w:tcPr>
            <w:tcW w:w="1137" w:type="dxa"/>
            <w:shd w:val="clear" w:color="auto" w:fill="C6D9F1" w:themeFill="text2" w:themeFillTint="33"/>
            <w:hideMark/>
          </w:tcPr>
          <w:p w14:paraId="37EC20B7" w14:textId="77777777" w:rsidR="00E71FC5" w:rsidRPr="00E71FC5" w:rsidRDefault="00E71FC5" w:rsidP="00E71FC5">
            <w:pPr>
              <w:spacing w:line="276" w:lineRule="auto"/>
              <w:jc w:val="center"/>
              <w:rPr>
                <w:rFonts w:asciiTheme="majorHAnsi" w:eastAsia="Arial" w:hAnsiTheme="majorHAnsi" w:cstheme="majorHAnsi"/>
                <w:b/>
                <w:bCs/>
                <w:sz w:val="22"/>
                <w:szCs w:val="22"/>
              </w:rPr>
            </w:pPr>
            <w:r w:rsidRPr="00E71FC5">
              <w:rPr>
                <w:rFonts w:asciiTheme="majorHAnsi" w:eastAsia="Arial" w:hAnsiTheme="majorHAnsi" w:cstheme="majorHAnsi"/>
                <w:b/>
                <w:bCs/>
                <w:sz w:val="22"/>
                <w:szCs w:val="22"/>
              </w:rPr>
              <w:t>VALOR UNITARIO TOTAL</w:t>
            </w:r>
          </w:p>
        </w:tc>
      </w:tr>
      <w:tr w:rsidR="00E71FC5" w:rsidRPr="00E71FC5" w14:paraId="2DD661E2" w14:textId="77777777" w:rsidTr="00E71FC5">
        <w:trPr>
          <w:trHeight w:val="300"/>
        </w:trPr>
        <w:tc>
          <w:tcPr>
            <w:tcW w:w="684" w:type="dxa"/>
            <w:noWrap/>
            <w:hideMark/>
          </w:tcPr>
          <w:p w14:paraId="0F7CC57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lastRenderedPageBreak/>
              <w:t>1</w:t>
            </w:r>
          </w:p>
        </w:tc>
        <w:tc>
          <w:tcPr>
            <w:tcW w:w="1109" w:type="dxa"/>
            <w:noWrap/>
            <w:hideMark/>
          </w:tcPr>
          <w:p w14:paraId="40AFBFF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42251706</w:t>
            </w:r>
          </w:p>
        </w:tc>
        <w:tc>
          <w:tcPr>
            <w:tcW w:w="3821" w:type="dxa"/>
            <w:hideMark/>
          </w:tcPr>
          <w:p w14:paraId="3163615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Banda caminadora 2.0 con instalación ver </w:t>
            </w:r>
            <w:r w:rsidRPr="00E71FC5">
              <w:rPr>
                <w:rFonts w:asciiTheme="majorHAnsi" w:eastAsia="Arial" w:hAnsiTheme="majorHAnsi" w:cstheme="majorHAnsi"/>
                <w:b/>
                <w:bCs/>
                <w:sz w:val="22"/>
                <w:szCs w:val="22"/>
              </w:rPr>
              <w:t>ficha técnica N°01</w:t>
            </w:r>
          </w:p>
        </w:tc>
        <w:tc>
          <w:tcPr>
            <w:tcW w:w="902" w:type="dxa"/>
            <w:noWrap/>
            <w:hideMark/>
          </w:tcPr>
          <w:p w14:paraId="4C9AD3F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AC2D13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EE1426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2BD93A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28116605" w14:textId="77777777" w:rsidTr="00E71FC5">
        <w:trPr>
          <w:trHeight w:val="300"/>
        </w:trPr>
        <w:tc>
          <w:tcPr>
            <w:tcW w:w="684" w:type="dxa"/>
            <w:noWrap/>
            <w:hideMark/>
          </w:tcPr>
          <w:p w14:paraId="1475EA6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w:t>
            </w:r>
          </w:p>
        </w:tc>
        <w:tc>
          <w:tcPr>
            <w:tcW w:w="1109" w:type="dxa"/>
            <w:noWrap/>
            <w:hideMark/>
          </w:tcPr>
          <w:p w14:paraId="0AAD457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49201503</w:t>
            </w:r>
          </w:p>
        </w:tc>
        <w:tc>
          <w:tcPr>
            <w:tcW w:w="3821" w:type="dxa"/>
            <w:hideMark/>
          </w:tcPr>
          <w:p w14:paraId="344E7884"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Bicicletas estáticas con instalación ver</w:t>
            </w:r>
            <w:r w:rsidRPr="00E71FC5">
              <w:rPr>
                <w:rFonts w:asciiTheme="majorHAnsi" w:eastAsia="Arial" w:hAnsiTheme="majorHAnsi" w:cstheme="majorHAnsi"/>
                <w:b/>
                <w:bCs/>
                <w:sz w:val="22"/>
                <w:szCs w:val="22"/>
              </w:rPr>
              <w:t xml:space="preserve"> ficha técnica N°02</w:t>
            </w:r>
          </w:p>
        </w:tc>
        <w:tc>
          <w:tcPr>
            <w:tcW w:w="902" w:type="dxa"/>
            <w:noWrap/>
            <w:hideMark/>
          </w:tcPr>
          <w:p w14:paraId="41721FB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52379F6C"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3AEBDA4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0522EE0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327416CC" w14:textId="77777777" w:rsidTr="00E71FC5">
        <w:trPr>
          <w:trHeight w:val="360"/>
        </w:trPr>
        <w:tc>
          <w:tcPr>
            <w:tcW w:w="684" w:type="dxa"/>
            <w:noWrap/>
            <w:hideMark/>
          </w:tcPr>
          <w:p w14:paraId="3E83967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w:t>
            </w:r>
          </w:p>
        </w:tc>
        <w:tc>
          <w:tcPr>
            <w:tcW w:w="1109" w:type="dxa"/>
            <w:noWrap/>
            <w:hideMark/>
          </w:tcPr>
          <w:p w14:paraId="5931675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95122306</w:t>
            </w:r>
          </w:p>
        </w:tc>
        <w:tc>
          <w:tcPr>
            <w:tcW w:w="3821" w:type="dxa"/>
            <w:hideMark/>
          </w:tcPr>
          <w:p w14:paraId="57557ED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Dual extensión de pierna con instalación ver </w:t>
            </w:r>
            <w:r w:rsidRPr="00E71FC5">
              <w:rPr>
                <w:rFonts w:asciiTheme="majorHAnsi" w:eastAsia="Arial" w:hAnsiTheme="majorHAnsi" w:cstheme="majorHAnsi"/>
                <w:b/>
                <w:bCs/>
                <w:sz w:val="22"/>
                <w:szCs w:val="22"/>
              </w:rPr>
              <w:t>ficha técnica N°03</w:t>
            </w:r>
          </w:p>
        </w:tc>
        <w:tc>
          <w:tcPr>
            <w:tcW w:w="902" w:type="dxa"/>
            <w:noWrap/>
            <w:hideMark/>
          </w:tcPr>
          <w:p w14:paraId="05EF0374"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3D641F5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513B1F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1F9F044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5025A708" w14:textId="77777777" w:rsidTr="00E71FC5">
        <w:trPr>
          <w:trHeight w:val="300"/>
        </w:trPr>
        <w:tc>
          <w:tcPr>
            <w:tcW w:w="684" w:type="dxa"/>
            <w:noWrap/>
            <w:hideMark/>
          </w:tcPr>
          <w:p w14:paraId="2A9B656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w:t>
            </w:r>
          </w:p>
        </w:tc>
        <w:tc>
          <w:tcPr>
            <w:tcW w:w="1109" w:type="dxa"/>
            <w:noWrap/>
            <w:hideMark/>
          </w:tcPr>
          <w:p w14:paraId="268D08D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95122306</w:t>
            </w:r>
          </w:p>
        </w:tc>
        <w:tc>
          <w:tcPr>
            <w:tcW w:w="3821" w:type="dxa"/>
            <w:hideMark/>
          </w:tcPr>
          <w:p w14:paraId="0B98E85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Maquina smith con instalación ver </w:t>
            </w:r>
            <w:r w:rsidRPr="00E71FC5">
              <w:rPr>
                <w:rFonts w:asciiTheme="majorHAnsi" w:eastAsia="Arial" w:hAnsiTheme="majorHAnsi" w:cstheme="majorHAnsi"/>
                <w:b/>
                <w:bCs/>
                <w:sz w:val="22"/>
                <w:szCs w:val="22"/>
              </w:rPr>
              <w:t>ficha técnica N°04</w:t>
            </w:r>
          </w:p>
        </w:tc>
        <w:tc>
          <w:tcPr>
            <w:tcW w:w="902" w:type="dxa"/>
            <w:noWrap/>
            <w:hideMark/>
          </w:tcPr>
          <w:p w14:paraId="041608F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5C634193"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66D78DA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7663078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350C3875" w14:textId="77777777" w:rsidTr="00E71FC5">
        <w:trPr>
          <w:trHeight w:val="300"/>
        </w:trPr>
        <w:tc>
          <w:tcPr>
            <w:tcW w:w="684" w:type="dxa"/>
            <w:noWrap/>
            <w:hideMark/>
          </w:tcPr>
          <w:p w14:paraId="4F85ACA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w:t>
            </w:r>
          </w:p>
        </w:tc>
        <w:tc>
          <w:tcPr>
            <w:tcW w:w="1109" w:type="dxa"/>
            <w:noWrap/>
            <w:hideMark/>
          </w:tcPr>
          <w:p w14:paraId="563D7F3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30161705</w:t>
            </w:r>
          </w:p>
        </w:tc>
        <w:tc>
          <w:tcPr>
            <w:tcW w:w="3821" w:type="dxa"/>
            <w:hideMark/>
          </w:tcPr>
          <w:p w14:paraId="10459D0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Piso caucho gimnasio con instalación ver</w:t>
            </w:r>
            <w:r w:rsidRPr="00E71FC5">
              <w:rPr>
                <w:rFonts w:asciiTheme="majorHAnsi" w:eastAsia="Arial" w:hAnsiTheme="majorHAnsi" w:cstheme="majorHAnsi"/>
                <w:b/>
                <w:bCs/>
                <w:sz w:val="22"/>
                <w:szCs w:val="22"/>
              </w:rPr>
              <w:t xml:space="preserve"> ficha técnica N°05</w:t>
            </w:r>
          </w:p>
        </w:tc>
        <w:tc>
          <w:tcPr>
            <w:tcW w:w="902" w:type="dxa"/>
            <w:noWrap/>
            <w:hideMark/>
          </w:tcPr>
          <w:p w14:paraId="59A5AC52"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3D0A80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36CAA6A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1769130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03625C29" w14:textId="77777777" w:rsidTr="00E71FC5">
        <w:trPr>
          <w:trHeight w:val="600"/>
        </w:trPr>
        <w:tc>
          <w:tcPr>
            <w:tcW w:w="684" w:type="dxa"/>
            <w:noWrap/>
            <w:hideMark/>
          </w:tcPr>
          <w:p w14:paraId="30DEA17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6</w:t>
            </w:r>
          </w:p>
        </w:tc>
        <w:tc>
          <w:tcPr>
            <w:tcW w:w="1109" w:type="dxa"/>
            <w:noWrap/>
            <w:hideMark/>
          </w:tcPr>
          <w:p w14:paraId="67E53E9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95122306</w:t>
            </w:r>
          </w:p>
        </w:tc>
        <w:tc>
          <w:tcPr>
            <w:tcW w:w="3821" w:type="dxa"/>
            <w:hideMark/>
          </w:tcPr>
          <w:p w14:paraId="609E8044"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Speediance correa de tobillo para máquinas de cable y </w:t>
            </w:r>
            <w:proofErr w:type="gramStart"/>
            <w:r w:rsidRPr="00E71FC5">
              <w:rPr>
                <w:rFonts w:asciiTheme="majorHAnsi" w:eastAsia="Arial" w:hAnsiTheme="majorHAnsi" w:cstheme="majorHAnsi"/>
                <w:sz w:val="22"/>
                <w:szCs w:val="22"/>
              </w:rPr>
              <w:t>band  ver</w:t>
            </w:r>
            <w:proofErr w:type="gramEnd"/>
            <w:r w:rsidRPr="00E71FC5">
              <w:rPr>
                <w:rFonts w:asciiTheme="majorHAnsi" w:eastAsia="Arial" w:hAnsiTheme="majorHAnsi" w:cstheme="majorHAnsi"/>
                <w:b/>
                <w:bCs/>
                <w:sz w:val="22"/>
                <w:szCs w:val="22"/>
              </w:rPr>
              <w:t xml:space="preserve"> ficha técnica N°06</w:t>
            </w:r>
          </w:p>
        </w:tc>
        <w:tc>
          <w:tcPr>
            <w:tcW w:w="902" w:type="dxa"/>
            <w:noWrap/>
            <w:hideMark/>
          </w:tcPr>
          <w:p w14:paraId="3BAB9C00"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18C8A0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798538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9C9878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391E0015" w14:textId="77777777" w:rsidTr="00E71FC5">
        <w:trPr>
          <w:trHeight w:val="705"/>
        </w:trPr>
        <w:tc>
          <w:tcPr>
            <w:tcW w:w="684" w:type="dxa"/>
            <w:noWrap/>
            <w:hideMark/>
          </w:tcPr>
          <w:p w14:paraId="6F7630E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7</w:t>
            </w:r>
          </w:p>
        </w:tc>
        <w:tc>
          <w:tcPr>
            <w:tcW w:w="1109" w:type="dxa"/>
            <w:noWrap/>
            <w:hideMark/>
          </w:tcPr>
          <w:p w14:paraId="243E63C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95122306</w:t>
            </w:r>
          </w:p>
        </w:tc>
        <w:tc>
          <w:tcPr>
            <w:tcW w:w="3821" w:type="dxa"/>
            <w:hideMark/>
          </w:tcPr>
          <w:p w14:paraId="0887D30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Prensa inclinada estructura pts de 50 x 100 con instalación ver </w:t>
            </w:r>
            <w:r w:rsidRPr="00E71FC5">
              <w:rPr>
                <w:rFonts w:asciiTheme="majorHAnsi" w:eastAsia="Arial" w:hAnsiTheme="majorHAnsi" w:cstheme="majorHAnsi"/>
                <w:b/>
                <w:bCs/>
                <w:sz w:val="22"/>
                <w:szCs w:val="22"/>
              </w:rPr>
              <w:t>ficha técnica N°07</w:t>
            </w:r>
          </w:p>
        </w:tc>
        <w:tc>
          <w:tcPr>
            <w:tcW w:w="902" w:type="dxa"/>
            <w:noWrap/>
            <w:hideMark/>
          </w:tcPr>
          <w:p w14:paraId="5DB8147A"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79F6711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E5DB1A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6B766C1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3B958552" w14:textId="77777777" w:rsidTr="00E71FC5">
        <w:trPr>
          <w:trHeight w:val="600"/>
        </w:trPr>
        <w:tc>
          <w:tcPr>
            <w:tcW w:w="684" w:type="dxa"/>
            <w:noWrap/>
            <w:hideMark/>
          </w:tcPr>
          <w:p w14:paraId="4EF5E8F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8</w:t>
            </w:r>
          </w:p>
        </w:tc>
        <w:tc>
          <w:tcPr>
            <w:tcW w:w="1109" w:type="dxa"/>
            <w:noWrap/>
            <w:hideMark/>
          </w:tcPr>
          <w:p w14:paraId="4AF8171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49201611</w:t>
            </w:r>
          </w:p>
        </w:tc>
        <w:tc>
          <w:tcPr>
            <w:tcW w:w="3821" w:type="dxa"/>
            <w:hideMark/>
          </w:tcPr>
          <w:p w14:paraId="2A99A2E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Multigimnasio estructura en acero con instalación ver </w:t>
            </w:r>
            <w:r w:rsidRPr="00E71FC5">
              <w:rPr>
                <w:rFonts w:asciiTheme="majorHAnsi" w:eastAsia="Arial" w:hAnsiTheme="majorHAnsi" w:cstheme="majorHAnsi"/>
                <w:b/>
                <w:bCs/>
                <w:sz w:val="22"/>
                <w:szCs w:val="22"/>
              </w:rPr>
              <w:t>ficha técnica N°08</w:t>
            </w:r>
          </w:p>
        </w:tc>
        <w:tc>
          <w:tcPr>
            <w:tcW w:w="902" w:type="dxa"/>
            <w:noWrap/>
            <w:hideMark/>
          </w:tcPr>
          <w:p w14:paraId="630AFC1D"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3776C4F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626F2F2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5E714CA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0395F10A" w14:textId="77777777" w:rsidTr="00E71FC5">
        <w:trPr>
          <w:trHeight w:val="300"/>
        </w:trPr>
        <w:tc>
          <w:tcPr>
            <w:tcW w:w="684" w:type="dxa"/>
            <w:noWrap/>
            <w:hideMark/>
          </w:tcPr>
          <w:p w14:paraId="7228638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w:t>
            </w:r>
          </w:p>
        </w:tc>
        <w:tc>
          <w:tcPr>
            <w:tcW w:w="1109" w:type="dxa"/>
            <w:noWrap/>
            <w:hideMark/>
          </w:tcPr>
          <w:p w14:paraId="127FB3A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49201604</w:t>
            </w:r>
          </w:p>
        </w:tc>
        <w:tc>
          <w:tcPr>
            <w:tcW w:w="3821" w:type="dxa"/>
            <w:hideMark/>
          </w:tcPr>
          <w:p w14:paraId="481BAD5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Banco ejercicio múltiple con instalación ver </w:t>
            </w:r>
            <w:r w:rsidRPr="00E71FC5">
              <w:rPr>
                <w:rFonts w:asciiTheme="majorHAnsi" w:eastAsia="Arial" w:hAnsiTheme="majorHAnsi" w:cstheme="majorHAnsi"/>
                <w:b/>
                <w:bCs/>
                <w:sz w:val="22"/>
                <w:szCs w:val="22"/>
              </w:rPr>
              <w:t>ficha técnica °09</w:t>
            </w:r>
          </w:p>
        </w:tc>
        <w:tc>
          <w:tcPr>
            <w:tcW w:w="902" w:type="dxa"/>
            <w:noWrap/>
            <w:hideMark/>
          </w:tcPr>
          <w:p w14:paraId="68D69C41"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0C3550C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46933C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02F4C77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E6FFAA3" w14:textId="77777777" w:rsidTr="00E71FC5">
        <w:trPr>
          <w:trHeight w:val="300"/>
        </w:trPr>
        <w:tc>
          <w:tcPr>
            <w:tcW w:w="684" w:type="dxa"/>
            <w:noWrap/>
            <w:hideMark/>
          </w:tcPr>
          <w:p w14:paraId="2A4CABF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10</w:t>
            </w:r>
          </w:p>
        </w:tc>
        <w:tc>
          <w:tcPr>
            <w:tcW w:w="1109" w:type="dxa"/>
            <w:noWrap/>
            <w:hideMark/>
          </w:tcPr>
          <w:p w14:paraId="5A6D9DA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49201516</w:t>
            </w:r>
          </w:p>
        </w:tc>
        <w:tc>
          <w:tcPr>
            <w:tcW w:w="3821" w:type="dxa"/>
            <w:hideMark/>
          </w:tcPr>
          <w:p w14:paraId="3A44E69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Elíptica magnética con instalación ver </w:t>
            </w:r>
            <w:r w:rsidRPr="00E71FC5">
              <w:rPr>
                <w:rFonts w:asciiTheme="majorHAnsi" w:eastAsia="Arial" w:hAnsiTheme="majorHAnsi" w:cstheme="majorHAnsi"/>
                <w:b/>
                <w:bCs/>
                <w:sz w:val="22"/>
                <w:szCs w:val="22"/>
              </w:rPr>
              <w:t xml:space="preserve">ficha técnica N°10  </w:t>
            </w:r>
            <w:r w:rsidRPr="00E71FC5">
              <w:rPr>
                <w:rFonts w:asciiTheme="majorHAnsi" w:eastAsia="Arial" w:hAnsiTheme="majorHAnsi" w:cstheme="majorHAnsi"/>
                <w:sz w:val="22"/>
                <w:szCs w:val="22"/>
              </w:rPr>
              <w:t xml:space="preserve">                                                                                              </w:t>
            </w:r>
          </w:p>
        </w:tc>
        <w:tc>
          <w:tcPr>
            <w:tcW w:w="902" w:type="dxa"/>
            <w:noWrap/>
            <w:hideMark/>
          </w:tcPr>
          <w:p w14:paraId="004F20C0"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76A81CD2"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2A66918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BEA168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2CAC13F" w14:textId="77777777" w:rsidTr="00E71FC5">
        <w:trPr>
          <w:trHeight w:val="300"/>
        </w:trPr>
        <w:tc>
          <w:tcPr>
            <w:tcW w:w="684" w:type="dxa"/>
            <w:noWrap/>
            <w:hideMark/>
          </w:tcPr>
          <w:p w14:paraId="48EF09C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11</w:t>
            </w:r>
          </w:p>
        </w:tc>
        <w:tc>
          <w:tcPr>
            <w:tcW w:w="1109" w:type="dxa"/>
            <w:noWrap/>
            <w:hideMark/>
          </w:tcPr>
          <w:p w14:paraId="15569A2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49201502</w:t>
            </w:r>
          </w:p>
        </w:tc>
        <w:tc>
          <w:tcPr>
            <w:tcW w:w="3821" w:type="dxa"/>
            <w:hideMark/>
          </w:tcPr>
          <w:p w14:paraId="36642D2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Escalador evo mont blanc con instalación ver </w:t>
            </w:r>
            <w:r w:rsidRPr="00E71FC5">
              <w:rPr>
                <w:rFonts w:asciiTheme="majorHAnsi" w:eastAsia="Arial" w:hAnsiTheme="majorHAnsi" w:cstheme="majorHAnsi"/>
                <w:b/>
                <w:bCs/>
                <w:sz w:val="22"/>
                <w:szCs w:val="22"/>
              </w:rPr>
              <w:t xml:space="preserve">ficha técnica N°11 </w:t>
            </w:r>
          </w:p>
        </w:tc>
        <w:tc>
          <w:tcPr>
            <w:tcW w:w="902" w:type="dxa"/>
            <w:noWrap/>
            <w:hideMark/>
          </w:tcPr>
          <w:p w14:paraId="3C25BF83"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0F30C5D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5D231E0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2744BB1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4C0132F" w14:textId="77777777" w:rsidTr="00E71FC5">
        <w:trPr>
          <w:trHeight w:val="300"/>
        </w:trPr>
        <w:tc>
          <w:tcPr>
            <w:tcW w:w="684" w:type="dxa"/>
            <w:noWrap/>
            <w:hideMark/>
          </w:tcPr>
          <w:p w14:paraId="0764377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12</w:t>
            </w:r>
          </w:p>
        </w:tc>
        <w:tc>
          <w:tcPr>
            <w:tcW w:w="1109" w:type="dxa"/>
            <w:noWrap/>
            <w:hideMark/>
          </w:tcPr>
          <w:p w14:paraId="2AB0EF8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49201612</w:t>
            </w:r>
          </w:p>
        </w:tc>
        <w:tc>
          <w:tcPr>
            <w:tcW w:w="3821" w:type="dxa"/>
            <w:hideMark/>
          </w:tcPr>
          <w:p w14:paraId="60E1EE5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Saco de arena10kg ver </w:t>
            </w:r>
            <w:r w:rsidRPr="00E71FC5">
              <w:rPr>
                <w:rFonts w:asciiTheme="majorHAnsi" w:eastAsia="Arial" w:hAnsiTheme="majorHAnsi" w:cstheme="majorHAnsi"/>
                <w:b/>
                <w:bCs/>
                <w:sz w:val="22"/>
                <w:szCs w:val="22"/>
              </w:rPr>
              <w:t>ficha técnica N°12</w:t>
            </w:r>
          </w:p>
        </w:tc>
        <w:tc>
          <w:tcPr>
            <w:tcW w:w="902" w:type="dxa"/>
            <w:noWrap/>
            <w:hideMark/>
          </w:tcPr>
          <w:p w14:paraId="5680CFA6"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6AB09E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0AA8447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7456E5F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05104246" w14:textId="77777777" w:rsidTr="00E71FC5">
        <w:trPr>
          <w:trHeight w:val="300"/>
        </w:trPr>
        <w:tc>
          <w:tcPr>
            <w:tcW w:w="684" w:type="dxa"/>
            <w:noWrap/>
            <w:hideMark/>
          </w:tcPr>
          <w:p w14:paraId="17ACDA9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13</w:t>
            </w:r>
          </w:p>
        </w:tc>
        <w:tc>
          <w:tcPr>
            <w:tcW w:w="1109" w:type="dxa"/>
            <w:noWrap/>
            <w:hideMark/>
          </w:tcPr>
          <w:p w14:paraId="5D4B085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49201612</w:t>
            </w:r>
          </w:p>
        </w:tc>
        <w:tc>
          <w:tcPr>
            <w:tcW w:w="3821" w:type="dxa"/>
            <w:hideMark/>
          </w:tcPr>
          <w:p w14:paraId="228B7C2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Saco de arena15kg ver</w:t>
            </w:r>
            <w:r w:rsidRPr="00E71FC5">
              <w:rPr>
                <w:rFonts w:asciiTheme="majorHAnsi" w:eastAsia="Arial" w:hAnsiTheme="majorHAnsi" w:cstheme="majorHAnsi"/>
                <w:b/>
                <w:bCs/>
                <w:sz w:val="22"/>
                <w:szCs w:val="22"/>
              </w:rPr>
              <w:t xml:space="preserve"> ficha técnica N°13</w:t>
            </w:r>
          </w:p>
        </w:tc>
        <w:tc>
          <w:tcPr>
            <w:tcW w:w="902" w:type="dxa"/>
            <w:noWrap/>
            <w:hideMark/>
          </w:tcPr>
          <w:p w14:paraId="5C276EE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FD6D30F"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1F6BCE4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05D6308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22BEF271" w14:textId="77777777" w:rsidTr="00E71FC5">
        <w:trPr>
          <w:trHeight w:val="390"/>
        </w:trPr>
        <w:tc>
          <w:tcPr>
            <w:tcW w:w="684" w:type="dxa"/>
            <w:noWrap/>
            <w:hideMark/>
          </w:tcPr>
          <w:p w14:paraId="5BCB36B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14</w:t>
            </w:r>
          </w:p>
        </w:tc>
        <w:tc>
          <w:tcPr>
            <w:tcW w:w="1109" w:type="dxa"/>
            <w:noWrap/>
            <w:hideMark/>
          </w:tcPr>
          <w:p w14:paraId="1E00038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95122306</w:t>
            </w:r>
          </w:p>
        </w:tc>
        <w:tc>
          <w:tcPr>
            <w:tcW w:w="3821" w:type="dxa"/>
            <w:hideMark/>
          </w:tcPr>
          <w:p w14:paraId="0193DFC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Máquina de tríceps isolateral con instalación ver </w:t>
            </w:r>
            <w:r w:rsidRPr="00E71FC5">
              <w:rPr>
                <w:rFonts w:asciiTheme="majorHAnsi" w:eastAsia="Arial" w:hAnsiTheme="majorHAnsi" w:cstheme="majorHAnsi"/>
                <w:b/>
                <w:bCs/>
                <w:sz w:val="22"/>
                <w:szCs w:val="22"/>
              </w:rPr>
              <w:t>ficha técnica N°14</w:t>
            </w:r>
          </w:p>
        </w:tc>
        <w:tc>
          <w:tcPr>
            <w:tcW w:w="902" w:type="dxa"/>
            <w:noWrap/>
            <w:hideMark/>
          </w:tcPr>
          <w:p w14:paraId="20FBD22C"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77BA9A67"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CC2648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58968D7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31960B1A" w14:textId="77777777" w:rsidTr="00E71FC5">
        <w:trPr>
          <w:trHeight w:val="300"/>
        </w:trPr>
        <w:tc>
          <w:tcPr>
            <w:tcW w:w="684" w:type="dxa"/>
            <w:noWrap/>
            <w:hideMark/>
          </w:tcPr>
          <w:p w14:paraId="1267A07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15</w:t>
            </w:r>
          </w:p>
        </w:tc>
        <w:tc>
          <w:tcPr>
            <w:tcW w:w="1109" w:type="dxa"/>
            <w:noWrap/>
            <w:hideMark/>
          </w:tcPr>
          <w:p w14:paraId="2C83865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41111949</w:t>
            </w:r>
          </w:p>
        </w:tc>
        <w:tc>
          <w:tcPr>
            <w:tcW w:w="3821" w:type="dxa"/>
            <w:hideMark/>
          </w:tcPr>
          <w:p w14:paraId="4CC494C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Cronometro deportivo plus ver </w:t>
            </w:r>
            <w:r w:rsidRPr="00E71FC5">
              <w:rPr>
                <w:rFonts w:asciiTheme="majorHAnsi" w:eastAsia="Arial" w:hAnsiTheme="majorHAnsi" w:cstheme="majorHAnsi"/>
                <w:b/>
                <w:bCs/>
                <w:sz w:val="22"/>
                <w:szCs w:val="22"/>
              </w:rPr>
              <w:t xml:space="preserve">ficha técnica N°15 </w:t>
            </w:r>
            <w:r w:rsidRPr="00E71FC5">
              <w:rPr>
                <w:rFonts w:asciiTheme="majorHAnsi" w:eastAsia="Arial" w:hAnsiTheme="majorHAnsi" w:cstheme="majorHAnsi"/>
                <w:sz w:val="22"/>
                <w:szCs w:val="22"/>
              </w:rPr>
              <w:t xml:space="preserve">   </w:t>
            </w:r>
          </w:p>
        </w:tc>
        <w:tc>
          <w:tcPr>
            <w:tcW w:w="902" w:type="dxa"/>
            <w:noWrap/>
            <w:hideMark/>
          </w:tcPr>
          <w:p w14:paraId="2C8CC82D"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FE82211"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76FB71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13D01A8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2A9B5E8C" w14:textId="77777777" w:rsidTr="00E71FC5">
        <w:trPr>
          <w:trHeight w:val="540"/>
        </w:trPr>
        <w:tc>
          <w:tcPr>
            <w:tcW w:w="684" w:type="dxa"/>
            <w:noWrap/>
            <w:hideMark/>
          </w:tcPr>
          <w:p w14:paraId="6434B36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16</w:t>
            </w:r>
          </w:p>
        </w:tc>
        <w:tc>
          <w:tcPr>
            <w:tcW w:w="1109" w:type="dxa"/>
            <w:noWrap/>
            <w:hideMark/>
          </w:tcPr>
          <w:p w14:paraId="54D3FAF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56101520</w:t>
            </w:r>
          </w:p>
        </w:tc>
        <w:tc>
          <w:tcPr>
            <w:tcW w:w="3821" w:type="dxa"/>
            <w:hideMark/>
          </w:tcPr>
          <w:p w14:paraId="634EDF0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Locker metálico 9 puestos azul de 180 x 93 x 30 cm ver </w:t>
            </w:r>
            <w:r w:rsidRPr="00E71FC5">
              <w:rPr>
                <w:rFonts w:asciiTheme="majorHAnsi" w:eastAsia="Arial" w:hAnsiTheme="majorHAnsi" w:cstheme="majorHAnsi"/>
                <w:b/>
                <w:bCs/>
                <w:sz w:val="22"/>
                <w:szCs w:val="22"/>
              </w:rPr>
              <w:t xml:space="preserve">ficha técnica N°16    </w:t>
            </w:r>
            <w:r w:rsidRPr="00E71FC5">
              <w:rPr>
                <w:rFonts w:asciiTheme="majorHAnsi" w:eastAsia="Arial" w:hAnsiTheme="majorHAnsi" w:cstheme="majorHAnsi"/>
                <w:sz w:val="22"/>
                <w:szCs w:val="22"/>
              </w:rPr>
              <w:t xml:space="preserve">         </w:t>
            </w:r>
          </w:p>
        </w:tc>
        <w:tc>
          <w:tcPr>
            <w:tcW w:w="902" w:type="dxa"/>
            <w:noWrap/>
            <w:hideMark/>
          </w:tcPr>
          <w:p w14:paraId="63CF8D9F"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C790AC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3A9FD52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20C116F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4117220" w14:textId="77777777" w:rsidTr="00E71FC5">
        <w:trPr>
          <w:trHeight w:val="585"/>
        </w:trPr>
        <w:tc>
          <w:tcPr>
            <w:tcW w:w="684" w:type="dxa"/>
            <w:noWrap/>
            <w:hideMark/>
          </w:tcPr>
          <w:p w14:paraId="2586DFA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17</w:t>
            </w:r>
          </w:p>
        </w:tc>
        <w:tc>
          <w:tcPr>
            <w:tcW w:w="1109" w:type="dxa"/>
            <w:noWrap/>
            <w:hideMark/>
          </w:tcPr>
          <w:p w14:paraId="423EC56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56101519</w:t>
            </w:r>
          </w:p>
        </w:tc>
        <w:tc>
          <w:tcPr>
            <w:tcW w:w="3821" w:type="dxa"/>
            <w:hideMark/>
          </w:tcPr>
          <w:p w14:paraId="7D2737E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Mesa plegable portafolio plástica polietileno 152 x 70 x 74cm blanca klimber ver </w:t>
            </w:r>
            <w:r w:rsidRPr="00E71FC5">
              <w:rPr>
                <w:rFonts w:asciiTheme="majorHAnsi" w:eastAsia="Arial" w:hAnsiTheme="majorHAnsi" w:cstheme="majorHAnsi"/>
                <w:b/>
                <w:bCs/>
                <w:sz w:val="22"/>
                <w:szCs w:val="22"/>
              </w:rPr>
              <w:t>ficha técnica N°17</w:t>
            </w:r>
            <w:r w:rsidRPr="00E71FC5">
              <w:rPr>
                <w:rFonts w:asciiTheme="majorHAnsi" w:eastAsia="Arial" w:hAnsiTheme="majorHAnsi" w:cstheme="majorHAnsi"/>
                <w:sz w:val="22"/>
                <w:szCs w:val="22"/>
              </w:rPr>
              <w:t xml:space="preserve">                 </w:t>
            </w:r>
          </w:p>
        </w:tc>
        <w:tc>
          <w:tcPr>
            <w:tcW w:w="902" w:type="dxa"/>
            <w:noWrap/>
            <w:hideMark/>
          </w:tcPr>
          <w:p w14:paraId="6497DFE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31754BB4"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BE6075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42B565D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65D286E" w14:textId="77777777" w:rsidTr="00E71FC5">
        <w:trPr>
          <w:trHeight w:val="390"/>
        </w:trPr>
        <w:tc>
          <w:tcPr>
            <w:tcW w:w="684" w:type="dxa"/>
            <w:noWrap/>
            <w:hideMark/>
          </w:tcPr>
          <w:p w14:paraId="6C54213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lastRenderedPageBreak/>
              <w:t>18</w:t>
            </w:r>
          </w:p>
        </w:tc>
        <w:tc>
          <w:tcPr>
            <w:tcW w:w="1109" w:type="dxa"/>
            <w:noWrap/>
            <w:hideMark/>
          </w:tcPr>
          <w:p w14:paraId="728B5B4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48101711</w:t>
            </w:r>
          </w:p>
        </w:tc>
        <w:tc>
          <w:tcPr>
            <w:tcW w:w="3821" w:type="dxa"/>
            <w:hideMark/>
          </w:tcPr>
          <w:p w14:paraId="6738947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Dispensador agua botellón oculto ed30s gris ver </w:t>
            </w:r>
            <w:r w:rsidRPr="00E71FC5">
              <w:rPr>
                <w:rFonts w:asciiTheme="majorHAnsi" w:eastAsia="Arial" w:hAnsiTheme="majorHAnsi" w:cstheme="majorHAnsi"/>
                <w:b/>
                <w:bCs/>
                <w:sz w:val="22"/>
                <w:szCs w:val="22"/>
              </w:rPr>
              <w:t xml:space="preserve">ficha técnica N°18     </w:t>
            </w:r>
            <w:r w:rsidRPr="00E71FC5">
              <w:rPr>
                <w:rFonts w:asciiTheme="majorHAnsi" w:eastAsia="Arial" w:hAnsiTheme="majorHAnsi" w:cstheme="majorHAnsi"/>
                <w:sz w:val="22"/>
                <w:szCs w:val="22"/>
              </w:rPr>
              <w:t xml:space="preserve">          </w:t>
            </w:r>
          </w:p>
        </w:tc>
        <w:tc>
          <w:tcPr>
            <w:tcW w:w="902" w:type="dxa"/>
            <w:noWrap/>
            <w:hideMark/>
          </w:tcPr>
          <w:p w14:paraId="00A4A0EE"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6BE7C10"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14AA551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658F528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97C0111" w14:textId="77777777" w:rsidTr="00E71FC5">
        <w:trPr>
          <w:trHeight w:val="300"/>
        </w:trPr>
        <w:tc>
          <w:tcPr>
            <w:tcW w:w="684" w:type="dxa"/>
            <w:noWrap/>
            <w:hideMark/>
          </w:tcPr>
          <w:p w14:paraId="7EE4F0A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19</w:t>
            </w:r>
          </w:p>
        </w:tc>
        <w:tc>
          <w:tcPr>
            <w:tcW w:w="1109" w:type="dxa"/>
            <w:noWrap/>
            <w:hideMark/>
          </w:tcPr>
          <w:p w14:paraId="2FF2328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42172001</w:t>
            </w:r>
          </w:p>
        </w:tc>
        <w:tc>
          <w:tcPr>
            <w:tcW w:w="3821" w:type="dxa"/>
            <w:hideMark/>
          </w:tcPr>
          <w:p w14:paraId="798A486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Botiquín primeros auxilios ver</w:t>
            </w:r>
            <w:r w:rsidRPr="00E71FC5">
              <w:rPr>
                <w:rFonts w:asciiTheme="majorHAnsi" w:eastAsia="Arial" w:hAnsiTheme="majorHAnsi" w:cstheme="majorHAnsi"/>
                <w:b/>
                <w:bCs/>
                <w:sz w:val="22"/>
                <w:szCs w:val="22"/>
              </w:rPr>
              <w:t xml:space="preserve"> ficha técnica N°19  </w:t>
            </w:r>
            <w:r w:rsidRPr="00E71FC5">
              <w:rPr>
                <w:rFonts w:asciiTheme="majorHAnsi" w:eastAsia="Arial" w:hAnsiTheme="majorHAnsi" w:cstheme="majorHAnsi"/>
                <w:sz w:val="22"/>
                <w:szCs w:val="22"/>
              </w:rPr>
              <w:t xml:space="preserve">  </w:t>
            </w:r>
          </w:p>
        </w:tc>
        <w:tc>
          <w:tcPr>
            <w:tcW w:w="902" w:type="dxa"/>
            <w:noWrap/>
            <w:hideMark/>
          </w:tcPr>
          <w:p w14:paraId="49096B71"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096BB2FC"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03BE145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2E1FEAB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DE26D74" w14:textId="77777777" w:rsidTr="00E71FC5">
        <w:trPr>
          <w:trHeight w:val="300"/>
        </w:trPr>
        <w:tc>
          <w:tcPr>
            <w:tcW w:w="684" w:type="dxa"/>
            <w:noWrap/>
            <w:hideMark/>
          </w:tcPr>
          <w:p w14:paraId="45419E7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20</w:t>
            </w:r>
          </w:p>
        </w:tc>
        <w:tc>
          <w:tcPr>
            <w:tcW w:w="1109" w:type="dxa"/>
            <w:noWrap/>
            <w:hideMark/>
          </w:tcPr>
          <w:p w14:paraId="0168813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54111601</w:t>
            </w:r>
          </w:p>
        </w:tc>
        <w:tc>
          <w:tcPr>
            <w:tcW w:w="3821" w:type="dxa"/>
            <w:hideMark/>
          </w:tcPr>
          <w:p w14:paraId="2132C45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Reloj estocolmo 40 cm ver </w:t>
            </w:r>
            <w:r w:rsidRPr="00E71FC5">
              <w:rPr>
                <w:rFonts w:asciiTheme="majorHAnsi" w:eastAsia="Arial" w:hAnsiTheme="majorHAnsi" w:cstheme="majorHAnsi"/>
                <w:b/>
                <w:bCs/>
                <w:sz w:val="22"/>
                <w:szCs w:val="22"/>
              </w:rPr>
              <w:t xml:space="preserve">ficha técnica N°20 </w:t>
            </w:r>
            <w:r w:rsidRPr="00E71FC5">
              <w:rPr>
                <w:rFonts w:asciiTheme="majorHAnsi" w:eastAsia="Arial" w:hAnsiTheme="majorHAnsi" w:cstheme="majorHAnsi"/>
                <w:sz w:val="22"/>
                <w:szCs w:val="22"/>
              </w:rPr>
              <w:t xml:space="preserve">             </w:t>
            </w:r>
          </w:p>
        </w:tc>
        <w:tc>
          <w:tcPr>
            <w:tcW w:w="902" w:type="dxa"/>
            <w:noWrap/>
            <w:hideMark/>
          </w:tcPr>
          <w:p w14:paraId="33A447B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060A06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55F6218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5E70867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152CF70" w14:textId="77777777" w:rsidTr="00E71FC5">
        <w:trPr>
          <w:trHeight w:val="300"/>
        </w:trPr>
        <w:tc>
          <w:tcPr>
            <w:tcW w:w="684" w:type="dxa"/>
            <w:noWrap/>
            <w:hideMark/>
          </w:tcPr>
          <w:p w14:paraId="128DAAC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21</w:t>
            </w:r>
          </w:p>
        </w:tc>
        <w:tc>
          <w:tcPr>
            <w:tcW w:w="1109" w:type="dxa"/>
            <w:noWrap/>
            <w:hideMark/>
          </w:tcPr>
          <w:p w14:paraId="5FDE1BA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47121602</w:t>
            </w:r>
          </w:p>
        </w:tc>
        <w:tc>
          <w:tcPr>
            <w:tcW w:w="3821" w:type="dxa"/>
            <w:hideMark/>
          </w:tcPr>
          <w:p w14:paraId="66D8348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Aspiradora 60 litros 1800w pro ubermann ver </w:t>
            </w:r>
            <w:r w:rsidRPr="00E71FC5">
              <w:rPr>
                <w:rFonts w:asciiTheme="majorHAnsi" w:eastAsia="Arial" w:hAnsiTheme="majorHAnsi" w:cstheme="majorHAnsi"/>
                <w:b/>
                <w:bCs/>
                <w:sz w:val="22"/>
                <w:szCs w:val="22"/>
              </w:rPr>
              <w:t>ficha técnica N°21</w:t>
            </w:r>
          </w:p>
        </w:tc>
        <w:tc>
          <w:tcPr>
            <w:tcW w:w="902" w:type="dxa"/>
            <w:noWrap/>
            <w:hideMark/>
          </w:tcPr>
          <w:p w14:paraId="0F631A5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7F687DE"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7C7510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47D2DC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18E54F3" w14:textId="77777777" w:rsidTr="00E71FC5">
        <w:trPr>
          <w:trHeight w:val="300"/>
        </w:trPr>
        <w:tc>
          <w:tcPr>
            <w:tcW w:w="684" w:type="dxa"/>
            <w:noWrap/>
            <w:hideMark/>
          </w:tcPr>
          <w:p w14:paraId="20ECDDD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22</w:t>
            </w:r>
          </w:p>
        </w:tc>
        <w:tc>
          <w:tcPr>
            <w:tcW w:w="1109" w:type="dxa"/>
            <w:noWrap/>
            <w:hideMark/>
          </w:tcPr>
          <w:p w14:paraId="3A077F5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72151603</w:t>
            </w:r>
          </w:p>
        </w:tc>
        <w:tc>
          <w:tcPr>
            <w:tcW w:w="3821" w:type="dxa"/>
            <w:hideMark/>
          </w:tcPr>
          <w:p w14:paraId="4CADC8B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Sistema de sonido completo, profesional ver </w:t>
            </w:r>
            <w:r w:rsidRPr="00E71FC5">
              <w:rPr>
                <w:rFonts w:asciiTheme="majorHAnsi" w:eastAsia="Arial" w:hAnsiTheme="majorHAnsi" w:cstheme="majorHAnsi"/>
                <w:b/>
                <w:bCs/>
                <w:sz w:val="22"/>
                <w:szCs w:val="22"/>
              </w:rPr>
              <w:t>ficha técnica N°22</w:t>
            </w:r>
          </w:p>
        </w:tc>
        <w:tc>
          <w:tcPr>
            <w:tcW w:w="902" w:type="dxa"/>
            <w:noWrap/>
            <w:hideMark/>
          </w:tcPr>
          <w:p w14:paraId="41FAA5BE"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7B554DF"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1285C99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193E39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5ED2442" w14:textId="77777777" w:rsidTr="00E71FC5">
        <w:trPr>
          <w:trHeight w:val="870"/>
        </w:trPr>
        <w:tc>
          <w:tcPr>
            <w:tcW w:w="684" w:type="dxa"/>
            <w:noWrap/>
            <w:hideMark/>
          </w:tcPr>
          <w:p w14:paraId="1C5D99E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23</w:t>
            </w:r>
          </w:p>
        </w:tc>
        <w:tc>
          <w:tcPr>
            <w:tcW w:w="1109" w:type="dxa"/>
            <w:noWrap/>
            <w:hideMark/>
          </w:tcPr>
          <w:p w14:paraId="4DE5685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52161520</w:t>
            </w:r>
          </w:p>
        </w:tc>
        <w:tc>
          <w:tcPr>
            <w:tcW w:w="3821" w:type="dxa"/>
            <w:hideMark/>
          </w:tcPr>
          <w:p w14:paraId="74E19BE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Micrófonos inalámbricos, sistema de micrófono de karaoke dual uhf, micrófonos inalámbricos profesional con receptor recargable, micrófono ver </w:t>
            </w:r>
            <w:r w:rsidRPr="00E71FC5">
              <w:rPr>
                <w:rFonts w:asciiTheme="majorHAnsi" w:eastAsia="Arial" w:hAnsiTheme="majorHAnsi" w:cstheme="majorHAnsi"/>
                <w:b/>
                <w:bCs/>
                <w:sz w:val="22"/>
                <w:szCs w:val="22"/>
              </w:rPr>
              <w:t>ficha técnica N°23</w:t>
            </w:r>
          </w:p>
        </w:tc>
        <w:tc>
          <w:tcPr>
            <w:tcW w:w="902" w:type="dxa"/>
            <w:noWrap/>
            <w:hideMark/>
          </w:tcPr>
          <w:p w14:paraId="0E26471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D81AE9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2313DF6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4C6D3DE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C6DC4FD" w14:textId="77777777" w:rsidTr="00E71FC5">
        <w:trPr>
          <w:trHeight w:val="300"/>
        </w:trPr>
        <w:tc>
          <w:tcPr>
            <w:tcW w:w="684" w:type="dxa"/>
            <w:noWrap/>
            <w:hideMark/>
          </w:tcPr>
          <w:p w14:paraId="4594C12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24</w:t>
            </w:r>
          </w:p>
        </w:tc>
        <w:tc>
          <w:tcPr>
            <w:tcW w:w="1109" w:type="dxa"/>
            <w:noWrap/>
            <w:hideMark/>
          </w:tcPr>
          <w:p w14:paraId="76C3ED4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24112401</w:t>
            </w:r>
          </w:p>
        </w:tc>
        <w:tc>
          <w:tcPr>
            <w:tcW w:w="3821" w:type="dxa"/>
            <w:hideMark/>
          </w:tcPr>
          <w:p w14:paraId="5573C33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Carro Saca Paquetes ver </w:t>
            </w:r>
            <w:r w:rsidRPr="00E71FC5">
              <w:rPr>
                <w:rFonts w:asciiTheme="majorHAnsi" w:eastAsia="Arial" w:hAnsiTheme="majorHAnsi" w:cstheme="majorHAnsi"/>
                <w:b/>
                <w:bCs/>
                <w:sz w:val="22"/>
                <w:szCs w:val="22"/>
              </w:rPr>
              <w:t>ficha técnica N°24</w:t>
            </w:r>
          </w:p>
        </w:tc>
        <w:tc>
          <w:tcPr>
            <w:tcW w:w="902" w:type="dxa"/>
            <w:noWrap/>
            <w:hideMark/>
          </w:tcPr>
          <w:p w14:paraId="55160FBE"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4A66CD4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64DE142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6B8039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034C85E9" w14:textId="77777777" w:rsidTr="00E71FC5">
        <w:trPr>
          <w:trHeight w:val="300"/>
        </w:trPr>
        <w:tc>
          <w:tcPr>
            <w:tcW w:w="684" w:type="dxa"/>
            <w:noWrap/>
            <w:hideMark/>
          </w:tcPr>
          <w:p w14:paraId="2A2B0CA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25</w:t>
            </w:r>
          </w:p>
        </w:tc>
        <w:tc>
          <w:tcPr>
            <w:tcW w:w="1109" w:type="dxa"/>
            <w:noWrap/>
            <w:hideMark/>
          </w:tcPr>
          <w:p w14:paraId="50914E5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43212101</w:t>
            </w:r>
          </w:p>
        </w:tc>
        <w:tc>
          <w:tcPr>
            <w:tcW w:w="3821" w:type="dxa"/>
            <w:hideMark/>
          </w:tcPr>
          <w:p w14:paraId="71773A1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Impresora evolis primacy2 ver </w:t>
            </w:r>
            <w:r w:rsidRPr="00E71FC5">
              <w:rPr>
                <w:rFonts w:asciiTheme="majorHAnsi" w:eastAsia="Arial" w:hAnsiTheme="majorHAnsi" w:cstheme="majorHAnsi"/>
                <w:b/>
                <w:bCs/>
                <w:sz w:val="22"/>
                <w:szCs w:val="22"/>
              </w:rPr>
              <w:t>ficha técnica N°25</w:t>
            </w:r>
          </w:p>
        </w:tc>
        <w:tc>
          <w:tcPr>
            <w:tcW w:w="902" w:type="dxa"/>
            <w:noWrap/>
            <w:hideMark/>
          </w:tcPr>
          <w:p w14:paraId="05FD7AED"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8618A7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010A1C8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7BF50EF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8D980D7" w14:textId="77777777" w:rsidTr="00E71FC5">
        <w:trPr>
          <w:trHeight w:val="300"/>
        </w:trPr>
        <w:tc>
          <w:tcPr>
            <w:tcW w:w="684" w:type="dxa"/>
            <w:noWrap/>
            <w:hideMark/>
          </w:tcPr>
          <w:p w14:paraId="29B9E8A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26</w:t>
            </w:r>
          </w:p>
        </w:tc>
        <w:tc>
          <w:tcPr>
            <w:tcW w:w="1109" w:type="dxa"/>
            <w:noWrap/>
            <w:hideMark/>
          </w:tcPr>
          <w:p w14:paraId="5C20150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44103112</w:t>
            </w:r>
          </w:p>
        </w:tc>
        <w:tc>
          <w:tcPr>
            <w:tcW w:w="3821" w:type="dxa"/>
            <w:hideMark/>
          </w:tcPr>
          <w:p w14:paraId="55D4B39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Evolis cinta ymcko-k ver</w:t>
            </w:r>
            <w:r w:rsidRPr="00E71FC5">
              <w:rPr>
                <w:rFonts w:asciiTheme="majorHAnsi" w:eastAsia="Arial" w:hAnsiTheme="majorHAnsi" w:cstheme="majorHAnsi"/>
                <w:b/>
                <w:bCs/>
                <w:sz w:val="22"/>
                <w:szCs w:val="22"/>
              </w:rPr>
              <w:t xml:space="preserve"> ficha técnica N°26</w:t>
            </w:r>
          </w:p>
        </w:tc>
        <w:tc>
          <w:tcPr>
            <w:tcW w:w="902" w:type="dxa"/>
            <w:noWrap/>
            <w:hideMark/>
          </w:tcPr>
          <w:p w14:paraId="5BFBA610"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601EA2B4"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1254CD0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5A494B4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4227261" w14:textId="77777777" w:rsidTr="00E71FC5">
        <w:trPr>
          <w:trHeight w:val="585"/>
        </w:trPr>
        <w:tc>
          <w:tcPr>
            <w:tcW w:w="684" w:type="dxa"/>
            <w:noWrap/>
            <w:hideMark/>
          </w:tcPr>
          <w:p w14:paraId="5B308BB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27</w:t>
            </w:r>
          </w:p>
        </w:tc>
        <w:tc>
          <w:tcPr>
            <w:tcW w:w="1109" w:type="dxa"/>
            <w:noWrap/>
            <w:hideMark/>
          </w:tcPr>
          <w:p w14:paraId="706D2D5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26121641</w:t>
            </w:r>
          </w:p>
        </w:tc>
        <w:tc>
          <w:tcPr>
            <w:tcW w:w="3821" w:type="dxa"/>
            <w:hideMark/>
          </w:tcPr>
          <w:p w14:paraId="277078F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Cable 2×1 audio – 2 rca a plug / jack 3.5mm para sonido </w:t>
            </w:r>
            <w:proofErr w:type="gramStart"/>
            <w:r w:rsidRPr="00E71FC5">
              <w:rPr>
                <w:rFonts w:asciiTheme="majorHAnsi" w:eastAsia="Arial" w:hAnsiTheme="majorHAnsi" w:cstheme="majorHAnsi"/>
                <w:sz w:val="22"/>
                <w:szCs w:val="22"/>
              </w:rPr>
              <w:t>estéreo  ver</w:t>
            </w:r>
            <w:proofErr w:type="gramEnd"/>
            <w:r w:rsidRPr="00E71FC5">
              <w:rPr>
                <w:rFonts w:asciiTheme="majorHAnsi" w:eastAsia="Arial" w:hAnsiTheme="majorHAnsi" w:cstheme="majorHAnsi"/>
                <w:sz w:val="22"/>
                <w:szCs w:val="22"/>
              </w:rPr>
              <w:t xml:space="preserve"> </w:t>
            </w:r>
            <w:r w:rsidRPr="00E71FC5">
              <w:rPr>
                <w:rFonts w:asciiTheme="majorHAnsi" w:eastAsia="Arial" w:hAnsiTheme="majorHAnsi" w:cstheme="majorHAnsi"/>
                <w:b/>
                <w:bCs/>
                <w:sz w:val="22"/>
                <w:szCs w:val="22"/>
              </w:rPr>
              <w:t>ficha técnica N°27</w:t>
            </w:r>
          </w:p>
        </w:tc>
        <w:tc>
          <w:tcPr>
            <w:tcW w:w="902" w:type="dxa"/>
            <w:noWrap/>
            <w:hideMark/>
          </w:tcPr>
          <w:p w14:paraId="20DD24A6"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5ED3BF62"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7C61EC9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53BE3C7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1BC25479" w14:textId="77777777" w:rsidTr="00E71FC5">
        <w:trPr>
          <w:trHeight w:val="600"/>
        </w:trPr>
        <w:tc>
          <w:tcPr>
            <w:tcW w:w="684" w:type="dxa"/>
            <w:noWrap/>
            <w:hideMark/>
          </w:tcPr>
          <w:p w14:paraId="788AC23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28</w:t>
            </w:r>
          </w:p>
        </w:tc>
        <w:tc>
          <w:tcPr>
            <w:tcW w:w="1109" w:type="dxa"/>
            <w:noWrap/>
            <w:hideMark/>
          </w:tcPr>
          <w:p w14:paraId="7E497CB0"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43221524</w:t>
            </w:r>
          </w:p>
        </w:tc>
        <w:tc>
          <w:tcPr>
            <w:tcW w:w="3821" w:type="dxa"/>
            <w:hideMark/>
          </w:tcPr>
          <w:p w14:paraId="64415B8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Adaptador de plug 6,3 mm a 2 jacks 6,3 mm, monoaural ver </w:t>
            </w:r>
            <w:r w:rsidRPr="00E71FC5">
              <w:rPr>
                <w:rFonts w:asciiTheme="majorHAnsi" w:eastAsia="Arial" w:hAnsiTheme="majorHAnsi" w:cstheme="majorHAnsi"/>
                <w:b/>
                <w:bCs/>
                <w:sz w:val="22"/>
                <w:szCs w:val="22"/>
              </w:rPr>
              <w:t>ficha técnica N°28</w:t>
            </w:r>
          </w:p>
        </w:tc>
        <w:tc>
          <w:tcPr>
            <w:tcW w:w="902" w:type="dxa"/>
            <w:noWrap/>
            <w:hideMark/>
          </w:tcPr>
          <w:p w14:paraId="3A604F8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1BD8154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BB5552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0691A06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5B776C7D" w14:textId="77777777" w:rsidTr="00E71FC5">
        <w:trPr>
          <w:trHeight w:val="300"/>
        </w:trPr>
        <w:tc>
          <w:tcPr>
            <w:tcW w:w="684" w:type="dxa"/>
            <w:noWrap/>
            <w:hideMark/>
          </w:tcPr>
          <w:p w14:paraId="092F786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29</w:t>
            </w:r>
          </w:p>
        </w:tc>
        <w:tc>
          <w:tcPr>
            <w:tcW w:w="1109" w:type="dxa"/>
            <w:noWrap/>
            <w:hideMark/>
          </w:tcPr>
          <w:p w14:paraId="7D29F395"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39121440</w:t>
            </w:r>
          </w:p>
        </w:tc>
        <w:tc>
          <w:tcPr>
            <w:tcW w:w="3821" w:type="dxa"/>
            <w:noWrap/>
            <w:hideMark/>
          </w:tcPr>
          <w:p w14:paraId="4D728CD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Extensión Uso Pesado Pol Cal14 1Sal 15M ver </w:t>
            </w:r>
            <w:r w:rsidRPr="00E71FC5">
              <w:rPr>
                <w:rFonts w:asciiTheme="majorHAnsi" w:eastAsia="Arial" w:hAnsiTheme="majorHAnsi" w:cstheme="majorHAnsi"/>
                <w:b/>
                <w:bCs/>
                <w:sz w:val="22"/>
                <w:szCs w:val="22"/>
              </w:rPr>
              <w:t>ficha técnica N°29</w:t>
            </w:r>
          </w:p>
        </w:tc>
        <w:tc>
          <w:tcPr>
            <w:tcW w:w="902" w:type="dxa"/>
            <w:noWrap/>
            <w:hideMark/>
          </w:tcPr>
          <w:p w14:paraId="3E9316A9"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BD92E7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45D808E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0BDA944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724F2FAA" w14:textId="77777777" w:rsidTr="00E71FC5">
        <w:trPr>
          <w:trHeight w:val="600"/>
        </w:trPr>
        <w:tc>
          <w:tcPr>
            <w:tcW w:w="684" w:type="dxa"/>
            <w:noWrap/>
            <w:hideMark/>
          </w:tcPr>
          <w:p w14:paraId="0F89EB8D"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30</w:t>
            </w:r>
          </w:p>
        </w:tc>
        <w:tc>
          <w:tcPr>
            <w:tcW w:w="1109" w:type="dxa"/>
            <w:noWrap/>
            <w:hideMark/>
          </w:tcPr>
          <w:p w14:paraId="391E488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39121102</w:t>
            </w:r>
          </w:p>
        </w:tc>
        <w:tc>
          <w:tcPr>
            <w:tcW w:w="3821" w:type="dxa"/>
            <w:hideMark/>
          </w:tcPr>
          <w:p w14:paraId="59D147BF"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Multitoma 6 salidas con interruptores individuales ver </w:t>
            </w:r>
            <w:r w:rsidRPr="00E71FC5">
              <w:rPr>
                <w:rFonts w:asciiTheme="majorHAnsi" w:eastAsia="Arial" w:hAnsiTheme="majorHAnsi" w:cstheme="majorHAnsi"/>
                <w:b/>
                <w:bCs/>
                <w:sz w:val="22"/>
                <w:szCs w:val="22"/>
              </w:rPr>
              <w:t>ficha técnica N°30</w:t>
            </w:r>
          </w:p>
        </w:tc>
        <w:tc>
          <w:tcPr>
            <w:tcW w:w="902" w:type="dxa"/>
            <w:noWrap/>
            <w:hideMark/>
          </w:tcPr>
          <w:p w14:paraId="4CBA4905"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1902E78"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3353696B"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21FFEDB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58852E9F" w14:textId="77777777" w:rsidTr="00E71FC5">
        <w:trPr>
          <w:trHeight w:val="600"/>
        </w:trPr>
        <w:tc>
          <w:tcPr>
            <w:tcW w:w="684" w:type="dxa"/>
            <w:noWrap/>
            <w:hideMark/>
          </w:tcPr>
          <w:p w14:paraId="62E470B6"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31</w:t>
            </w:r>
          </w:p>
        </w:tc>
        <w:tc>
          <w:tcPr>
            <w:tcW w:w="1109" w:type="dxa"/>
            <w:noWrap/>
            <w:hideMark/>
          </w:tcPr>
          <w:p w14:paraId="70C4DBF1"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45121504</w:t>
            </w:r>
          </w:p>
        </w:tc>
        <w:tc>
          <w:tcPr>
            <w:tcW w:w="3821" w:type="dxa"/>
            <w:hideMark/>
          </w:tcPr>
          <w:p w14:paraId="4B36A6FC"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Cámara eos rebel t8i / 850d dslr con lente de 18-55 mm ver</w:t>
            </w:r>
            <w:r w:rsidRPr="00E71FC5">
              <w:rPr>
                <w:rFonts w:asciiTheme="majorHAnsi" w:eastAsia="Arial" w:hAnsiTheme="majorHAnsi" w:cstheme="majorHAnsi"/>
                <w:b/>
                <w:bCs/>
                <w:sz w:val="22"/>
                <w:szCs w:val="22"/>
              </w:rPr>
              <w:t xml:space="preserve"> ficha técnica N°31</w:t>
            </w:r>
          </w:p>
        </w:tc>
        <w:tc>
          <w:tcPr>
            <w:tcW w:w="902" w:type="dxa"/>
            <w:noWrap/>
            <w:hideMark/>
          </w:tcPr>
          <w:p w14:paraId="0AB0E3E6"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3F239392"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52E1178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2050D84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610CC846" w14:textId="77777777" w:rsidTr="00E71FC5">
        <w:trPr>
          <w:trHeight w:val="300"/>
        </w:trPr>
        <w:tc>
          <w:tcPr>
            <w:tcW w:w="684" w:type="dxa"/>
            <w:noWrap/>
            <w:hideMark/>
          </w:tcPr>
          <w:p w14:paraId="085A7104"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32</w:t>
            </w:r>
          </w:p>
        </w:tc>
        <w:tc>
          <w:tcPr>
            <w:tcW w:w="1109" w:type="dxa"/>
            <w:noWrap/>
            <w:hideMark/>
          </w:tcPr>
          <w:p w14:paraId="10AE6579"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52161520</w:t>
            </w:r>
          </w:p>
        </w:tc>
        <w:tc>
          <w:tcPr>
            <w:tcW w:w="3821" w:type="dxa"/>
            <w:hideMark/>
          </w:tcPr>
          <w:p w14:paraId="0D777D38"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Lark M1 duo microfonos de solapa hollyland ver </w:t>
            </w:r>
            <w:r w:rsidRPr="00E71FC5">
              <w:rPr>
                <w:rFonts w:asciiTheme="majorHAnsi" w:eastAsia="Arial" w:hAnsiTheme="majorHAnsi" w:cstheme="majorHAnsi"/>
                <w:b/>
                <w:bCs/>
                <w:sz w:val="22"/>
                <w:szCs w:val="22"/>
              </w:rPr>
              <w:t>ficha técnica N°32</w:t>
            </w:r>
          </w:p>
        </w:tc>
        <w:tc>
          <w:tcPr>
            <w:tcW w:w="902" w:type="dxa"/>
            <w:noWrap/>
            <w:hideMark/>
          </w:tcPr>
          <w:p w14:paraId="3C0B91E7"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22E92C7A"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665C0AD3"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74183DE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r w:rsidR="00E71FC5" w:rsidRPr="00E71FC5" w14:paraId="49B48DFE" w14:textId="77777777" w:rsidTr="00E71FC5">
        <w:trPr>
          <w:trHeight w:val="600"/>
        </w:trPr>
        <w:tc>
          <w:tcPr>
            <w:tcW w:w="684" w:type="dxa"/>
            <w:noWrap/>
            <w:hideMark/>
          </w:tcPr>
          <w:p w14:paraId="426C062A"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33</w:t>
            </w:r>
          </w:p>
        </w:tc>
        <w:tc>
          <w:tcPr>
            <w:tcW w:w="1109" w:type="dxa"/>
            <w:noWrap/>
            <w:hideMark/>
          </w:tcPr>
          <w:p w14:paraId="45353FD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45121602</w:t>
            </w:r>
          </w:p>
        </w:tc>
        <w:tc>
          <w:tcPr>
            <w:tcW w:w="3821" w:type="dxa"/>
            <w:hideMark/>
          </w:tcPr>
          <w:p w14:paraId="26DEF8FE"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xml:space="preserve">Trípode soporte para cámaras y teléfonos celulares ver </w:t>
            </w:r>
            <w:r w:rsidRPr="00E71FC5">
              <w:rPr>
                <w:rFonts w:asciiTheme="majorHAnsi" w:eastAsia="Arial" w:hAnsiTheme="majorHAnsi" w:cstheme="majorHAnsi"/>
                <w:b/>
                <w:bCs/>
                <w:sz w:val="22"/>
                <w:szCs w:val="22"/>
              </w:rPr>
              <w:t>ficha técnica N°33</w:t>
            </w:r>
          </w:p>
        </w:tc>
        <w:tc>
          <w:tcPr>
            <w:tcW w:w="902" w:type="dxa"/>
            <w:noWrap/>
            <w:hideMark/>
          </w:tcPr>
          <w:p w14:paraId="5302F29A"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1</w:t>
            </w:r>
          </w:p>
        </w:tc>
        <w:tc>
          <w:tcPr>
            <w:tcW w:w="985" w:type="dxa"/>
            <w:hideMark/>
          </w:tcPr>
          <w:p w14:paraId="3321DEFB" w14:textId="77777777" w:rsidR="00E71FC5" w:rsidRPr="00E71FC5" w:rsidRDefault="00E71FC5" w:rsidP="00E71FC5">
            <w:pPr>
              <w:spacing w:line="276" w:lineRule="auto"/>
              <w:jc w:val="center"/>
              <w:rPr>
                <w:rFonts w:asciiTheme="majorHAnsi" w:eastAsia="Arial" w:hAnsiTheme="majorHAnsi" w:cstheme="majorHAnsi"/>
                <w:sz w:val="22"/>
                <w:szCs w:val="22"/>
              </w:rPr>
            </w:pPr>
            <w:r w:rsidRPr="00E71FC5">
              <w:rPr>
                <w:rFonts w:asciiTheme="majorHAnsi" w:eastAsia="Arial" w:hAnsiTheme="majorHAnsi" w:cstheme="majorHAnsi"/>
                <w:sz w:val="22"/>
                <w:szCs w:val="22"/>
              </w:rPr>
              <w:t>UN</w:t>
            </w:r>
          </w:p>
        </w:tc>
        <w:tc>
          <w:tcPr>
            <w:tcW w:w="1137" w:type="dxa"/>
            <w:noWrap/>
            <w:hideMark/>
          </w:tcPr>
          <w:p w14:paraId="3573FF47"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c>
          <w:tcPr>
            <w:tcW w:w="1137" w:type="dxa"/>
            <w:noWrap/>
            <w:hideMark/>
          </w:tcPr>
          <w:p w14:paraId="3E151432" w14:textId="77777777" w:rsidR="00E71FC5" w:rsidRPr="00E71FC5" w:rsidRDefault="00E71FC5" w:rsidP="00E71FC5">
            <w:pPr>
              <w:spacing w:line="276" w:lineRule="auto"/>
              <w:jc w:val="both"/>
              <w:rPr>
                <w:rFonts w:asciiTheme="majorHAnsi" w:eastAsia="Arial" w:hAnsiTheme="majorHAnsi" w:cstheme="majorHAnsi"/>
                <w:sz w:val="22"/>
                <w:szCs w:val="22"/>
              </w:rPr>
            </w:pPr>
            <w:r w:rsidRPr="00E71FC5">
              <w:rPr>
                <w:rFonts w:asciiTheme="majorHAnsi" w:eastAsia="Arial" w:hAnsiTheme="majorHAnsi" w:cstheme="majorHAnsi"/>
                <w:sz w:val="22"/>
                <w:szCs w:val="22"/>
              </w:rPr>
              <w:t> </w:t>
            </w:r>
          </w:p>
        </w:tc>
      </w:tr>
    </w:tbl>
    <w:p w14:paraId="00DCEBF1" w14:textId="77777777" w:rsidR="00572AD5" w:rsidRDefault="00572AD5">
      <w:pPr>
        <w:spacing w:line="276" w:lineRule="auto"/>
        <w:jc w:val="both"/>
        <w:rPr>
          <w:rFonts w:ascii="Arial" w:eastAsia="Arial" w:hAnsi="Arial" w:cs="Arial"/>
          <w:sz w:val="22"/>
          <w:szCs w:val="22"/>
        </w:rPr>
      </w:pPr>
    </w:p>
    <w:p w14:paraId="0F583A66" w14:textId="77777777" w:rsidR="00572AD5" w:rsidRDefault="00572AD5">
      <w:pPr>
        <w:spacing w:line="276" w:lineRule="auto"/>
        <w:jc w:val="both"/>
        <w:rPr>
          <w:rFonts w:ascii="Arial" w:eastAsia="Arial" w:hAnsi="Arial" w:cs="Arial"/>
          <w:sz w:val="22"/>
          <w:szCs w:val="22"/>
        </w:rPr>
      </w:pPr>
    </w:p>
    <w:p w14:paraId="2F7D2454" w14:textId="12DFEBDF" w:rsidR="00E71FC5" w:rsidRPr="00E71FC5" w:rsidRDefault="00E71FC5" w:rsidP="00E71FC5">
      <w:pPr>
        <w:spacing w:line="276" w:lineRule="auto"/>
        <w:jc w:val="center"/>
        <w:rPr>
          <w:rFonts w:ascii="Arial" w:eastAsia="Arial" w:hAnsi="Arial" w:cs="Arial"/>
          <w:b/>
          <w:bCs/>
          <w:sz w:val="22"/>
          <w:szCs w:val="22"/>
        </w:rPr>
      </w:pPr>
      <w:r w:rsidRPr="00E71FC5">
        <w:rPr>
          <w:rFonts w:ascii="Arial" w:eastAsia="Arial" w:hAnsi="Arial" w:cs="Arial"/>
          <w:b/>
          <w:bCs/>
          <w:sz w:val="22"/>
          <w:szCs w:val="22"/>
        </w:rPr>
        <w:t>LOTE 2</w:t>
      </w:r>
    </w:p>
    <w:p w14:paraId="49DF7EE0" w14:textId="77777777" w:rsidR="00E71FC5" w:rsidRDefault="00E71FC5">
      <w:pPr>
        <w:pBdr>
          <w:top w:val="nil"/>
          <w:left w:val="nil"/>
          <w:bottom w:val="nil"/>
          <w:right w:val="nil"/>
          <w:between w:val="nil"/>
        </w:pBdr>
        <w:rPr>
          <w:rFonts w:ascii="Arial" w:eastAsia="Arial" w:hAnsi="Arial" w:cs="Arial"/>
          <w:b/>
          <w:color w:val="000000"/>
          <w:sz w:val="22"/>
          <w:szCs w:val="22"/>
        </w:rPr>
      </w:pPr>
    </w:p>
    <w:tbl>
      <w:tblPr>
        <w:tblW w:w="10170" w:type="dxa"/>
        <w:tblCellMar>
          <w:left w:w="70" w:type="dxa"/>
          <w:right w:w="70" w:type="dxa"/>
        </w:tblCellMar>
        <w:tblLook w:val="04A0" w:firstRow="1" w:lastRow="0" w:firstColumn="1" w:lastColumn="0" w:noHBand="0" w:noVBand="1"/>
      </w:tblPr>
      <w:tblGrid>
        <w:gridCol w:w="720"/>
        <w:gridCol w:w="1118"/>
        <w:gridCol w:w="3647"/>
        <w:gridCol w:w="1240"/>
        <w:gridCol w:w="925"/>
        <w:gridCol w:w="1180"/>
        <w:gridCol w:w="1340"/>
      </w:tblGrid>
      <w:tr w:rsidR="00E71FC5" w:rsidRPr="00E71FC5" w14:paraId="677982DD" w14:textId="77777777" w:rsidTr="00E71FC5">
        <w:trPr>
          <w:trHeight w:val="900"/>
        </w:trPr>
        <w:tc>
          <w:tcPr>
            <w:tcW w:w="72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713F7358"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ITEM</w:t>
            </w:r>
          </w:p>
        </w:tc>
        <w:tc>
          <w:tcPr>
            <w:tcW w:w="1118" w:type="dxa"/>
            <w:tcBorders>
              <w:top w:val="single" w:sz="4" w:space="0" w:color="auto"/>
              <w:left w:val="nil"/>
              <w:bottom w:val="single" w:sz="4" w:space="0" w:color="auto"/>
              <w:right w:val="single" w:sz="4" w:space="0" w:color="auto"/>
            </w:tcBorders>
            <w:shd w:val="clear" w:color="000000" w:fill="BDD7EE"/>
            <w:vAlign w:val="center"/>
            <w:hideMark/>
          </w:tcPr>
          <w:p w14:paraId="2A38E09F"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 xml:space="preserve">CODIGO UNSPSC </w:t>
            </w:r>
          </w:p>
        </w:tc>
        <w:tc>
          <w:tcPr>
            <w:tcW w:w="3647" w:type="dxa"/>
            <w:tcBorders>
              <w:top w:val="single" w:sz="4" w:space="0" w:color="auto"/>
              <w:left w:val="nil"/>
              <w:bottom w:val="single" w:sz="4" w:space="0" w:color="auto"/>
              <w:right w:val="single" w:sz="4" w:space="0" w:color="auto"/>
            </w:tcBorders>
            <w:shd w:val="clear" w:color="000000" w:fill="BDD7EE"/>
            <w:vAlign w:val="center"/>
            <w:hideMark/>
          </w:tcPr>
          <w:p w14:paraId="630DEBBB"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DESCRIPCION DEL BIEN</w:t>
            </w:r>
          </w:p>
        </w:tc>
        <w:tc>
          <w:tcPr>
            <w:tcW w:w="1240" w:type="dxa"/>
            <w:tcBorders>
              <w:top w:val="single" w:sz="4" w:space="0" w:color="auto"/>
              <w:left w:val="nil"/>
              <w:bottom w:val="single" w:sz="4" w:space="0" w:color="auto"/>
              <w:right w:val="single" w:sz="4" w:space="0" w:color="auto"/>
            </w:tcBorders>
            <w:shd w:val="clear" w:color="000000" w:fill="BDD7EE"/>
            <w:vAlign w:val="center"/>
            <w:hideMark/>
          </w:tcPr>
          <w:p w14:paraId="28195913"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CANTIDAD</w:t>
            </w:r>
          </w:p>
        </w:tc>
        <w:tc>
          <w:tcPr>
            <w:tcW w:w="925" w:type="dxa"/>
            <w:tcBorders>
              <w:top w:val="single" w:sz="4" w:space="0" w:color="auto"/>
              <w:left w:val="nil"/>
              <w:bottom w:val="single" w:sz="4" w:space="0" w:color="auto"/>
              <w:right w:val="single" w:sz="4" w:space="0" w:color="auto"/>
            </w:tcBorders>
            <w:shd w:val="clear" w:color="000000" w:fill="BDD7EE"/>
            <w:vAlign w:val="center"/>
            <w:hideMark/>
          </w:tcPr>
          <w:p w14:paraId="6F7AF635"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UNIDAD DE MEDIDA</w:t>
            </w:r>
          </w:p>
        </w:tc>
        <w:tc>
          <w:tcPr>
            <w:tcW w:w="1180" w:type="dxa"/>
            <w:tcBorders>
              <w:top w:val="single" w:sz="4" w:space="0" w:color="auto"/>
              <w:left w:val="nil"/>
              <w:bottom w:val="single" w:sz="4" w:space="0" w:color="auto"/>
              <w:right w:val="single" w:sz="4" w:space="0" w:color="auto"/>
            </w:tcBorders>
            <w:shd w:val="clear" w:color="000000" w:fill="BDD7EE"/>
            <w:vAlign w:val="center"/>
            <w:hideMark/>
          </w:tcPr>
          <w:p w14:paraId="5B4433F5"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VALOR UNITARIO</w:t>
            </w:r>
          </w:p>
        </w:tc>
        <w:tc>
          <w:tcPr>
            <w:tcW w:w="1340" w:type="dxa"/>
            <w:tcBorders>
              <w:top w:val="single" w:sz="4" w:space="0" w:color="auto"/>
              <w:left w:val="nil"/>
              <w:bottom w:val="single" w:sz="4" w:space="0" w:color="auto"/>
              <w:right w:val="single" w:sz="4" w:space="0" w:color="auto"/>
            </w:tcBorders>
            <w:shd w:val="clear" w:color="000000" w:fill="BDD7EE"/>
            <w:vAlign w:val="center"/>
            <w:hideMark/>
          </w:tcPr>
          <w:p w14:paraId="628A1CA3" w14:textId="77777777" w:rsidR="00E71FC5" w:rsidRPr="00E71FC5" w:rsidRDefault="00E71FC5">
            <w:pPr>
              <w:jc w:val="center"/>
              <w:rPr>
                <w:rFonts w:asciiTheme="majorHAnsi" w:hAnsiTheme="majorHAnsi" w:cstheme="majorHAnsi"/>
                <w:b/>
                <w:bCs/>
                <w:color w:val="000000"/>
                <w:sz w:val="22"/>
                <w:szCs w:val="22"/>
              </w:rPr>
            </w:pPr>
            <w:r w:rsidRPr="00E71FC5">
              <w:rPr>
                <w:rFonts w:asciiTheme="majorHAnsi" w:hAnsiTheme="majorHAnsi" w:cstheme="majorHAnsi"/>
                <w:b/>
                <w:bCs/>
                <w:color w:val="000000"/>
                <w:sz w:val="22"/>
                <w:szCs w:val="22"/>
              </w:rPr>
              <w:t>VALOR UNITARIO TOTAL</w:t>
            </w:r>
          </w:p>
        </w:tc>
      </w:tr>
      <w:tr w:rsidR="00E71FC5" w:rsidRPr="00E71FC5" w14:paraId="4787F7FA"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3B9E3678"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1118" w:type="dxa"/>
            <w:tcBorders>
              <w:top w:val="nil"/>
              <w:left w:val="nil"/>
              <w:bottom w:val="single" w:sz="4" w:space="0" w:color="auto"/>
              <w:right w:val="single" w:sz="4" w:space="0" w:color="auto"/>
            </w:tcBorders>
            <w:shd w:val="clear" w:color="auto" w:fill="auto"/>
            <w:noWrap/>
            <w:vAlign w:val="center"/>
            <w:hideMark/>
          </w:tcPr>
          <w:p w14:paraId="3F9C7FCC"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52121502</w:t>
            </w:r>
          </w:p>
        </w:tc>
        <w:tc>
          <w:tcPr>
            <w:tcW w:w="3647" w:type="dxa"/>
            <w:tcBorders>
              <w:top w:val="nil"/>
              <w:left w:val="nil"/>
              <w:bottom w:val="single" w:sz="4" w:space="0" w:color="auto"/>
              <w:right w:val="single" w:sz="4" w:space="0" w:color="auto"/>
            </w:tcBorders>
            <w:shd w:val="clear" w:color="auto" w:fill="auto"/>
            <w:vAlign w:val="center"/>
            <w:hideMark/>
          </w:tcPr>
          <w:p w14:paraId="71DF85A8" w14:textId="77777777" w:rsidR="00E71FC5" w:rsidRPr="00E71FC5" w:rsidRDefault="00E71FC5">
            <w:pPr>
              <w:jc w:val="both"/>
              <w:rPr>
                <w:rFonts w:asciiTheme="majorHAnsi" w:hAnsiTheme="majorHAnsi" w:cstheme="majorHAnsi"/>
                <w:color w:val="000000"/>
                <w:sz w:val="22"/>
                <w:szCs w:val="22"/>
              </w:rPr>
            </w:pPr>
            <w:proofErr w:type="gramStart"/>
            <w:r w:rsidRPr="00E71FC5">
              <w:rPr>
                <w:rFonts w:asciiTheme="majorHAnsi" w:hAnsiTheme="majorHAnsi" w:cstheme="majorHAnsi"/>
                <w:color w:val="000000"/>
                <w:sz w:val="22"/>
                <w:szCs w:val="22"/>
              </w:rPr>
              <w:t>Sobrecama sencillo</w:t>
            </w:r>
            <w:proofErr w:type="gramEnd"/>
            <w:r w:rsidRPr="00E71FC5">
              <w:rPr>
                <w:rFonts w:asciiTheme="majorHAnsi" w:hAnsiTheme="majorHAnsi" w:cstheme="majorHAnsi"/>
                <w:color w:val="000000"/>
                <w:sz w:val="22"/>
                <w:szCs w:val="22"/>
              </w:rPr>
              <w:t xml:space="preserve"> de 145 x 230 cm ver </w:t>
            </w:r>
            <w:r w:rsidRPr="00E71FC5">
              <w:rPr>
                <w:rFonts w:asciiTheme="majorHAnsi" w:hAnsiTheme="majorHAnsi" w:cstheme="majorHAnsi"/>
                <w:b/>
                <w:bCs/>
                <w:color w:val="000000"/>
                <w:sz w:val="22"/>
                <w:szCs w:val="22"/>
              </w:rPr>
              <w:t>ficha técnica N°01</w:t>
            </w:r>
          </w:p>
        </w:tc>
        <w:tc>
          <w:tcPr>
            <w:tcW w:w="1240" w:type="dxa"/>
            <w:tcBorders>
              <w:top w:val="nil"/>
              <w:left w:val="nil"/>
              <w:bottom w:val="single" w:sz="4" w:space="0" w:color="auto"/>
              <w:right w:val="single" w:sz="4" w:space="0" w:color="auto"/>
            </w:tcBorders>
            <w:shd w:val="clear" w:color="auto" w:fill="auto"/>
            <w:noWrap/>
            <w:vAlign w:val="center"/>
            <w:hideMark/>
          </w:tcPr>
          <w:p w14:paraId="271761FD"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4716E66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5490C4F2"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50E04A1C"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5FA85F6C"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4641099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2</w:t>
            </w:r>
          </w:p>
        </w:tc>
        <w:tc>
          <w:tcPr>
            <w:tcW w:w="1118" w:type="dxa"/>
            <w:tcBorders>
              <w:top w:val="nil"/>
              <w:left w:val="nil"/>
              <w:bottom w:val="single" w:sz="4" w:space="0" w:color="auto"/>
              <w:right w:val="single" w:sz="4" w:space="0" w:color="auto"/>
            </w:tcBorders>
            <w:shd w:val="clear" w:color="auto" w:fill="auto"/>
            <w:noWrap/>
            <w:vAlign w:val="center"/>
            <w:hideMark/>
          </w:tcPr>
          <w:p w14:paraId="4818A7B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42321615</w:t>
            </w:r>
          </w:p>
        </w:tc>
        <w:tc>
          <w:tcPr>
            <w:tcW w:w="3647" w:type="dxa"/>
            <w:tcBorders>
              <w:top w:val="nil"/>
              <w:left w:val="nil"/>
              <w:bottom w:val="single" w:sz="4" w:space="0" w:color="auto"/>
              <w:right w:val="single" w:sz="4" w:space="0" w:color="auto"/>
            </w:tcBorders>
            <w:shd w:val="clear" w:color="auto" w:fill="auto"/>
            <w:vAlign w:val="center"/>
            <w:hideMark/>
          </w:tcPr>
          <w:p w14:paraId="74E5E4A0"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Silla infinity sin brazos ver </w:t>
            </w:r>
            <w:r w:rsidRPr="00E71FC5">
              <w:rPr>
                <w:rFonts w:asciiTheme="majorHAnsi" w:hAnsiTheme="majorHAnsi" w:cstheme="majorHAnsi"/>
                <w:b/>
                <w:bCs/>
                <w:color w:val="000000"/>
                <w:sz w:val="22"/>
                <w:szCs w:val="22"/>
              </w:rPr>
              <w:t>ficha técnica N°02</w:t>
            </w:r>
          </w:p>
        </w:tc>
        <w:tc>
          <w:tcPr>
            <w:tcW w:w="1240" w:type="dxa"/>
            <w:tcBorders>
              <w:top w:val="nil"/>
              <w:left w:val="nil"/>
              <w:bottom w:val="single" w:sz="4" w:space="0" w:color="auto"/>
              <w:right w:val="single" w:sz="4" w:space="0" w:color="auto"/>
            </w:tcBorders>
            <w:shd w:val="clear" w:color="auto" w:fill="auto"/>
            <w:noWrap/>
            <w:vAlign w:val="center"/>
            <w:hideMark/>
          </w:tcPr>
          <w:p w14:paraId="3280B839"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0F284458"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16D28B16"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62E776D"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445C4095" w14:textId="77777777" w:rsidTr="00E71FC5">
        <w:trPr>
          <w:trHeight w:val="36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59618F5E"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3</w:t>
            </w:r>
          </w:p>
        </w:tc>
        <w:tc>
          <w:tcPr>
            <w:tcW w:w="1118" w:type="dxa"/>
            <w:tcBorders>
              <w:top w:val="nil"/>
              <w:left w:val="nil"/>
              <w:bottom w:val="single" w:sz="4" w:space="0" w:color="auto"/>
              <w:right w:val="single" w:sz="4" w:space="0" w:color="auto"/>
            </w:tcBorders>
            <w:shd w:val="clear" w:color="auto" w:fill="auto"/>
            <w:noWrap/>
            <w:vAlign w:val="center"/>
            <w:hideMark/>
          </w:tcPr>
          <w:p w14:paraId="0EC600E3"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56101522</w:t>
            </w:r>
          </w:p>
        </w:tc>
        <w:tc>
          <w:tcPr>
            <w:tcW w:w="3647" w:type="dxa"/>
            <w:tcBorders>
              <w:top w:val="nil"/>
              <w:left w:val="nil"/>
              <w:bottom w:val="single" w:sz="4" w:space="0" w:color="auto"/>
              <w:right w:val="single" w:sz="4" w:space="0" w:color="auto"/>
            </w:tcBorders>
            <w:shd w:val="clear" w:color="auto" w:fill="auto"/>
            <w:vAlign w:val="center"/>
            <w:hideMark/>
          </w:tcPr>
          <w:p w14:paraId="5D1CC1FB"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Silla eterna con brazos ver </w:t>
            </w:r>
            <w:r w:rsidRPr="00E71FC5">
              <w:rPr>
                <w:rFonts w:asciiTheme="majorHAnsi" w:hAnsiTheme="majorHAnsi" w:cstheme="majorHAnsi"/>
                <w:b/>
                <w:bCs/>
                <w:color w:val="000000"/>
                <w:sz w:val="22"/>
                <w:szCs w:val="22"/>
              </w:rPr>
              <w:t>ficha técnica N°03</w:t>
            </w:r>
          </w:p>
        </w:tc>
        <w:tc>
          <w:tcPr>
            <w:tcW w:w="1240" w:type="dxa"/>
            <w:tcBorders>
              <w:top w:val="nil"/>
              <w:left w:val="nil"/>
              <w:bottom w:val="single" w:sz="4" w:space="0" w:color="auto"/>
              <w:right w:val="single" w:sz="4" w:space="0" w:color="auto"/>
            </w:tcBorders>
            <w:shd w:val="clear" w:color="auto" w:fill="auto"/>
            <w:noWrap/>
            <w:vAlign w:val="center"/>
            <w:hideMark/>
          </w:tcPr>
          <w:p w14:paraId="334A98E5"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4FD8537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3906167B"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39992CE6"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18BA9369" w14:textId="77777777" w:rsidTr="00E71FC5">
        <w:trPr>
          <w:trHeight w:val="585"/>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2226637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4</w:t>
            </w:r>
          </w:p>
        </w:tc>
        <w:tc>
          <w:tcPr>
            <w:tcW w:w="1118" w:type="dxa"/>
            <w:tcBorders>
              <w:top w:val="nil"/>
              <w:left w:val="nil"/>
              <w:bottom w:val="single" w:sz="4" w:space="0" w:color="auto"/>
              <w:right w:val="single" w:sz="4" w:space="0" w:color="auto"/>
            </w:tcBorders>
            <w:shd w:val="clear" w:color="auto" w:fill="auto"/>
            <w:noWrap/>
            <w:vAlign w:val="center"/>
            <w:hideMark/>
          </w:tcPr>
          <w:p w14:paraId="35C326DF"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56101520</w:t>
            </w:r>
          </w:p>
        </w:tc>
        <w:tc>
          <w:tcPr>
            <w:tcW w:w="3647" w:type="dxa"/>
            <w:tcBorders>
              <w:top w:val="nil"/>
              <w:left w:val="nil"/>
              <w:bottom w:val="single" w:sz="4" w:space="0" w:color="auto"/>
              <w:right w:val="single" w:sz="4" w:space="0" w:color="auto"/>
            </w:tcBorders>
            <w:shd w:val="clear" w:color="auto" w:fill="auto"/>
            <w:vAlign w:val="center"/>
            <w:hideMark/>
          </w:tcPr>
          <w:p w14:paraId="1AB713E7"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Locker metálico 4 puestos gris de 170cm x 80cm x 60cm con bolillo para colgar ver </w:t>
            </w:r>
            <w:r w:rsidRPr="00E71FC5">
              <w:rPr>
                <w:rFonts w:asciiTheme="majorHAnsi" w:hAnsiTheme="majorHAnsi" w:cstheme="majorHAnsi"/>
                <w:b/>
                <w:bCs/>
                <w:color w:val="000000"/>
                <w:sz w:val="22"/>
                <w:szCs w:val="22"/>
              </w:rPr>
              <w:t>ficha técnica N°04</w:t>
            </w:r>
          </w:p>
        </w:tc>
        <w:tc>
          <w:tcPr>
            <w:tcW w:w="1240" w:type="dxa"/>
            <w:tcBorders>
              <w:top w:val="nil"/>
              <w:left w:val="nil"/>
              <w:bottom w:val="single" w:sz="4" w:space="0" w:color="auto"/>
              <w:right w:val="single" w:sz="4" w:space="0" w:color="auto"/>
            </w:tcBorders>
            <w:shd w:val="clear" w:color="auto" w:fill="auto"/>
            <w:noWrap/>
            <w:vAlign w:val="center"/>
            <w:hideMark/>
          </w:tcPr>
          <w:p w14:paraId="7C83450E"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52FD168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52554CC5"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D6F0FB6"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303E798B" w14:textId="77777777" w:rsidTr="00E71FC5">
        <w:trPr>
          <w:trHeight w:val="585"/>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48B5D1E6"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w:t>
            </w:r>
          </w:p>
        </w:tc>
        <w:tc>
          <w:tcPr>
            <w:tcW w:w="1118" w:type="dxa"/>
            <w:tcBorders>
              <w:top w:val="nil"/>
              <w:left w:val="nil"/>
              <w:bottom w:val="single" w:sz="4" w:space="0" w:color="auto"/>
              <w:right w:val="single" w:sz="4" w:space="0" w:color="auto"/>
            </w:tcBorders>
            <w:shd w:val="clear" w:color="auto" w:fill="auto"/>
            <w:noWrap/>
            <w:vAlign w:val="center"/>
            <w:hideMark/>
          </w:tcPr>
          <w:p w14:paraId="02424B96"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56101519</w:t>
            </w:r>
          </w:p>
        </w:tc>
        <w:tc>
          <w:tcPr>
            <w:tcW w:w="3647" w:type="dxa"/>
            <w:tcBorders>
              <w:top w:val="nil"/>
              <w:left w:val="nil"/>
              <w:bottom w:val="single" w:sz="4" w:space="0" w:color="auto"/>
              <w:right w:val="single" w:sz="4" w:space="0" w:color="auto"/>
            </w:tcBorders>
            <w:shd w:val="clear" w:color="auto" w:fill="auto"/>
            <w:vAlign w:val="center"/>
            <w:hideMark/>
          </w:tcPr>
          <w:p w14:paraId="445A639A"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Mesa provenzal de 6 puestos con profundidad 86.1 cm, ancho: 139 cm y de altura: 73.4 cm ver </w:t>
            </w:r>
            <w:r w:rsidRPr="00E71FC5">
              <w:rPr>
                <w:rFonts w:asciiTheme="majorHAnsi" w:hAnsiTheme="majorHAnsi" w:cstheme="majorHAnsi"/>
                <w:b/>
                <w:bCs/>
                <w:color w:val="000000"/>
                <w:sz w:val="22"/>
                <w:szCs w:val="22"/>
              </w:rPr>
              <w:t xml:space="preserve">ficha técnica N°05 </w:t>
            </w:r>
          </w:p>
        </w:tc>
        <w:tc>
          <w:tcPr>
            <w:tcW w:w="1240" w:type="dxa"/>
            <w:tcBorders>
              <w:top w:val="nil"/>
              <w:left w:val="nil"/>
              <w:bottom w:val="single" w:sz="4" w:space="0" w:color="auto"/>
              <w:right w:val="single" w:sz="4" w:space="0" w:color="auto"/>
            </w:tcBorders>
            <w:shd w:val="clear" w:color="auto" w:fill="auto"/>
            <w:noWrap/>
            <w:vAlign w:val="center"/>
            <w:hideMark/>
          </w:tcPr>
          <w:p w14:paraId="5AABE7EF"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0FED9644"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28AA6B66"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CE6E07A"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48B2FD75"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67C99F7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6</w:t>
            </w:r>
          </w:p>
        </w:tc>
        <w:tc>
          <w:tcPr>
            <w:tcW w:w="1118" w:type="dxa"/>
            <w:tcBorders>
              <w:top w:val="nil"/>
              <w:left w:val="nil"/>
              <w:bottom w:val="single" w:sz="4" w:space="0" w:color="auto"/>
              <w:right w:val="single" w:sz="4" w:space="0" w:color="auto"/>
            </w:tcBorders>
            <w:shd w:val="clear" w:color="auto" w:fill="auto"/>
            <w:noWrap/>
            <w:vAlign w:val="center"/>
            <w:hideMark/>
          </w:tcPr>
          <w:p w14:paraId="3CF672A4"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48102001</w:t>
            </w:r>
          </w:p>
        </w:tc>
        <w:tc>
          <w:tcPr>
            <w:tcW w:w="3647" w:type="dxa"/>
            <w:tcBorders>
              <w:top w:val="nil"/>
              <w:left w:val="nil"/>
              <w:bottom w:val="single" w:sz="4" w:space="0" w:color="auto"/>
              <w:right w:val="single" w:sz="4" w:space="0" w:color="auto"/>
            </w:tcBorders>
            <w:shd w:val="clear" w:color="auto" w:fill="auto"/>
            <w:vAlign w:val="center"/>
            <w:hideMark/>
          </w:tcPr>
          <w:p w14:paraId="5598C715"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Silla cafetería con brazo ver </w:t>
            </w:r>
            <w:r w:rsidRPr="00E71FC5">
              <w:rPr>
                <w:rFonts w:asciiTheme="majorHAnsi" w:hAnsiTheme="majorHAnsi" w:cstheme="majorHAnsi"/>
                <w:b/>
                <w:bCs/>
                <w:color w:val="000000"/>
                <w:sz w:val="22"/>
                <w:szCs w:val="22"/>
              </w:rPr>
              <w:t xml:space="preserve">ficha técnica N°06  </w:t>
            </w:r>
          </w:p>
        </w:tc>
        <w:tc>
          <w:tcPr>
            <w:tcW w:w="1240" w:type="dxa"/>
            <w:tcBorders>
              <w:top w:val="nil"/>
              <w:left w:val="nil"/>
              <w:bottom w:val="single" w:sz="4" w:space="0" w:color="auto"/>
              <w:right w:val="single" w:sz="4" w:space="0" w:color="auto"/>
            </w:tcBorders>
            <w:shd w:val="clear" w:color="auto" w:fill="auto"/>
            <w:noWrap/>
            <w:vAlign w:val="center"/>
            <w:hideMark/>
          </w:tcPr>
          <w:p w14:paraId="611A51BC"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49BE82B9"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2CA9BC7D"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06B0D39E"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5E57C9EB" w14:textId="77777777" w:rsidTr="00E71FC5">
        <w:trPr>
          <w:trHeight w:val="39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15B26007"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7</w:t>
            </w:r>
          </w:p>
        </w:tc>
        <w:tc>
          <w:tcPr>
            <w:tcW w:w="1118" w:type="dxa"/>
            <w:tcBorders>
              <w:top w:val="nil"/>
              <w:left w:val="nil"/>
              <w:bottom w:val="single" w:sz="4" w:space="0" w:color="auto"/>
              <w:right w:val="single" w:sz="4" w:space="0" w:color="auto"/>
            </w:tcBorders>
            <w:shd w:val="clear" w:color="auto" w:fill="auto"/>
            <w:noWrap/>
            <w:vAlign w:val="center"/>
            <w:hideMark/>
          </w:tcPr>
          <w:p w14:paraId="771A9CF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52141608</w:t>
            </w:r>
          </w:p>
        </w:tc>
        <w:tc>
          <w:tcPr>
            <w:tcW w:w="3647" w:type="dxa"/>
            <w:tcBorders>
              <w:top w:val="nil"/>
              <w:left w:val="nil"/>
              <w:bottom w:val="single" w:sz="4" w:space="0" w:color="auto"/>
              <w:right w:val="single" w:sz="4" w:space="0" w:color="auto"/>
            </w:tcBorders>
            <w:shd w:val="clear" w:color="auto" w:fill="auto"/>
            <w:vAlign w:val="center"/>
            <w:hideMark/>
          </w:tcPr>
          <w:p w14:paraId="5303D6CA"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Plancha Para Ropa Vertical A Vapor ver </w:t>
            </w:r>
            <w:r w:rsidRPr="00E71FC5">
              <w:rPr>
                <w:rFonts w:asciiTheme="majorHAnsi" w:hAnsiTheme="majorHAnsi" w:cstheme="majorHAnsi"/>
                <w:b/>
                <w:bCs/>
                <w:color w:val="000000"/>
                <w:sz w:val="22"/>
                <w:szCs w:val="22"/>
              </w:rPr>
              <w:t xml:space="preserve">ficha técnica N°07  </w:t>
            </w:r>
          </w:p>
        </w:tc>
        <w:tc>
          <w:tcPr>
            <w:tcW w:w="1240" w:type="dxa"/>
            <w:tcBorders>
              <w:top w:val="nil"/>
              <w:left w:val="nil"/>
              <w:bottom w:val="single" w:sz="4" w:space="0" w:color="auto"/>
              <w:right w:val="single" w:sz="4" w:space="0" w:color="auto"/>
            </w:tcBorders>
            <w:shd w:val="clear" w:color="auto" w:fill="auto"/>
            <w:noWrap/>
            <w:vAlign w:val="center"/>
            <w:hideMark/>
          </w:tcPr>
          <w:p w14:paraId="5553EC5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0F9F4B4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6D16E18A"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1D75EAD"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406770DA"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68EA299D"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8</w:t>
            </w:r>
          </w:p>
        </w:tc>
        <w:tc>
          <w:tcPr>
            <w:tcW w:w="1118" w:type="dxa"/>
            <w:tcBorders>
              <w:top w:val="nil"/>
              <w:left w:val="nil"/>
              <w:bottom w:val="single" w:sz="4" w:space="0" w:color="auto"/>
              <w:right w:val="single" w:sz="4" w:space="0" w:color="auto"/>
            </w:tcBorders>
            <w:shd w:val="clear" w:color="auto" w:fill="auto"/>
            <w:noWrap/>
            <w:vAlign w:val="center"/>
            <w:hideMark/>
          </w:tcPr>
          <w:p w14:paraId="7A4B65CA"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45111802</w:t>
            </w:r>
          </w:p>
        </w:tc>
        <w:tc>
          <w:tcPr>
            <w:tcW w:w="3647" w:type="dxa"/>
            <w:tcBorders>
              <w:top w:val="nil"/>
              <w:left w:val="nil"/>
              <w:bottom w:val="single" w:sz="4" w:space="0" w:color="auto"/>
              <w:right w:val="single" w:sz="4" w:space="0" w:color="auto"/>
            </w:tcBorders>
            <w:shd w:val="clear" w:color="auto" w:fill="auto"/>
            <w:vAlign w:val="center"/>
            <w:hideMark/>
          </w:tcPr>
          <w:p w14:paraId="398CFCF4"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Soporte TV móvil de piso 1500 1p de 32 a 75 ver </w:t>
            </w:r>
            <w:r w:rsidRPr="00E71FC5">
              <w:rPr>
                <w:rFonts w:asciiTheme="majorHAnsi" w:hAnsiTheme="majorHAnsi" w:cstheme="majorHAnsi"/>
                <w:b/>
                <w:bCs/>
                <w:color w:val="000000"/>
                <w:sz w:val="22"/>
                <w:szCs w:val="22"/>
              </w:rPr>
              <w:t xml:space="preserve">ficha técnica N°08  </w:t>
            </w:r>
          </w:p>
        </w:tc>
        <w:tc>
          <w:tcPr>
            <w:tcW w:w="1240" w:type="dxa"/>
            <w:tcBorders>
              <w:top w:val="nil"/>
              <w:left w:val="nil"/>
              <w:bottom w:val="single" w:sz="4" w:space="0" w:color="auto"/>
              <w:right w:val="single" w:sz="4" w:space="0" w:color="auto"/>
            </w:tcBorders>
            <w:shd w:val="clear" w:color="auto" w:fill="auto"/>
            <w:noWrap/>
            <w:vAlign w:val="center"/>
            <w:hideMark/>
          </w:tcPr>
          <w:p w14:paraId="70D0FF2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1CDA0F5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748BDDE9"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34CD3B44"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49E65C4B" w14:textId="77777777" w:rsidTr="00E71FC5">
        <w:trPr>
          <w:trHeight w:val="6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5B612A2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9</w:t>
            </w:r>
          </w:p>
        </w:tc>
        <w:tc>
          <w:tcPr>
            <w:tcW w:w="1118" w:type="dxa"/>
            <w:tcBorders>
              <w:top w:val="nil"/>
              <w:left w:val="nil"/>
              <w:bottom w:val="single" w:sz="4" w:space="0" w:color="auto"/>
              <w:right w:val="single" w:sz="4" w:space="0" w:color="auto"/>
            </w:tcBorders>
            <w:shd w:val="clear" w:color="auto" w:fill="auto"/>
            <w:noWrap/>
            <w:vAlign w:val="center"/>
            <w:hideMark/>
          </w:tcPr>
          <w:p w14:paraId="399B9EB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56121805</w:t>
            </w:r>
          </w:p>
        </w:tc>
        <w:tc>
          <w:tcPr>
            <w:tcW w:w="3647" w:type="dxa"/>
            <w:tcBorders>
              <w:top w:val="nil"/>
              <w:left w:val="nil"/>
              <w:bottom w:val="single" w:sz="4" w:space="0" w:color="auto"/>
              <w:right w:val="single" w:sz="4" w:space="0" w:color="auto"/>
            </w:tcBorders>
            <w:shd w:val="clear" w:color="auto" w:fill="auto"/>
            <w:vAlign w:val="bottom"/>
            <w:hideMark/>
          </w:tcPr>
          <w:p w14:paraId="2223DBCC"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Archivo vertical de 2 Gavetas 0.46 x 0.69 x 0.71 mt ver </w:t>
            </w:r>
            <w:r w:rsidRPr="00E71FC5">
              <w:rPr>
                <w:rFonts w:asciiTheme="majorHAnsi" w:hAnsiTheme="majorHAnsi" w:cstheme="majorHAnsi"/>
                <w:b/>
                <w:bCs/>
                <w:color w:val="000000"/>
                <w:sz w:val="22"/>
                <w:szCs w:val="22"/>
              </w:rPr>
              <w:t>ficha técnica N°09</w:t>
            </w:r>
          </w:p>
        </w:tc>
        <w:tc>
          <w:tcPr>
            <w:tcW w:w="1240" w:type="dxa"/>
            <w:tcBorders>
              <w:top w:val="nil"/>
              <w:left w:val="nil"/>
              <w:bottom w:val="single" w:sz="4" w:space="0" w:color="auto"/>
              <w:right w:val="single" w:sz="4" w:space="0" w:color="auto"/>
            </w:tcBorders>
            <w:shd w:val="clear" w:color="auto" w:fill="auto"/>
            <w:noWrap/>
            <w:vAlign w:val="center"/>
            <w:hideMark/>
          </w:tcPr>
          <w:p w14:paraId="54B3DF6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138D3D8B"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2C7EC4E7"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1654AFBB"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2CCB9779"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256F8E67"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10</w:t>
            </w:r>
          </w:p>
        </w:tc>
        <w:tc>
          <w:tcPr>
            <w:tcW w:w="1118" w:type="dxa"/>
            <w:tcBorders>
              <w:top w:val="nil"/>
              <w:left w:val="nil"/>
              <w:bottom w:val="single" w:sz="4" w:space="0" w:color="auto"/>
              <w:right w:val="single" w:sz="4" w:space="0" w:color="auto"/>
            </w:tcBorders>
            <w:shd w:val="clear" w:color="auto" w:fill="auto"/>
            <w:noWrap/>
            <w:vAlign w:val="center"/>
            <w:hideMark/>
          </w:tcPr>
          <w:p w14:paraId="43B6C123"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24131500</w:t>
            </w:r>
          </w:p>
        </w:tc>
        <w:tc>
          <w:tcPr>
            <w:tcW w:w="3647" w:type="dxa"/>
            <w:tcBorders>
              <w:top w:val="nil"/>
              <w:left w:val="nil"/>
              <w:bottom w:val="single" w:sz="4" w:space="0" w:color="auto"/>
              <w:right w:val="single" w:sz="4" w:space="0" w:color="auto"/>
            </w:tcBorders>
            <w:shd w:val="clear" w:color="auto" w:fill="auto"/>
            <w:vAlign w:val="center"/>
            <w:hideMark/>
          </w:tcPr>
          <w:p w14:paraId="551C2CA3"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Refrigerador Industrial ver</w:t>
            </w:r>
            <w:r w:rsidRPr="00E71FC5">
              <w:rPr>
                <w:rFonts w:asciiTheme="majorHAnsi" w:hAnsiTheme="majorHAnsi" w:cstheme="majorHAnsi"/>
                <w:b/>
                <w:bCs/>
                <w:color w:val="000000"/>
                <w:sz w:val="22"/>
                <w:szCs w:val="22"/>
              </w:rPr>
              <w:t xml:space="preserve"> ficha técnica N°10</w:t>
            </w:r>
          </w:p>
        </w:tc>
        <w:tc>
          <w:tcPr>
            <w:tcW w:w="1240" w:type="dxa"/>
            <w:tcBorders>
              <w:top w:val="nil"/>
              <w:left w:val="nil"/>
              <w:bottom w:val="single" w:sz="4" w:space="0" w:color="auto"/>
              <w:right w:val="single" w:sz="4" w:space="0" w:color="auto"/>
            </w:tcBorders>
            <w:shd w:val="clear" w:color="auto" w:fill="auto"/>
            <w:noWrap/>
            <w:vAlign w:val="center"/>
            <w:hideMark/>
          </w:tcPr>
          <w:p w14:paraId="34E949A6"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74BB366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4D21EF3E"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9E40CCB"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689AC50D"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197EBAA0"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11</w:t>
            </w:r>
          </w:p>
        </w:tc>
        <w:tc>
          <w:tcPr>
            <w:tcW w:w="1118" w:type="dxa"/>
            <w:tcBorders>
              <w:top w:val="nil"/>
              <w:left w:val="nil"/>
              <w:bottom w:val="single" w:sz="4" w:space="0" w:color="auto"/>
              <w:right w:val="single" w:sz="4" w:space="0" w:color="auto"/>
            </w:tcBorders>
            <w:shd w:val="clear" w:color="auto" w:fill="auto"/>
            <w:noWrap/>
            <w:vAlign w:val="center"/>
            <w:hideMark/>
          </w:tcPr>
          <w:p w14:paraId="2DCA5269"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56101515</w:t>
            </w:r>
          </w:p>
        </w:tc>
        <w:tc>
          <w:tcPr>
            <w:tcW w:w="3647" w:type="dxa"/>
            <w:tcBorders>
              <w:top w:val="nil"/>
              <w:left w:val="nil"/>
              <w:bottom w:val="single" w:sz="4" w:space="0" w:color="auto"/>
              <w:right w:val="single" w:sz="4" w:space="0" w:color="auto"/>
            </w:tcBorders>
            <w:shd w:val="clear" w:color="auto" w:fill="auto"/>
            <w:vAlign w:val="center"/>
            <w:hideMark/>
          </w:tcPr>
          <w:p w14:paraId="45C84828"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Cama sencilla 100 x 190 cms ver </w:t>
            </w:r>
            <w:r w:rsidRPr="00E71FC5">
              <w:rPr>
                <w:rFonts w:asciiTheme="majorHAnsi" w:hAnsiTheme="majorHAnsi" w:cstheme="majorHAnsi"/>
                <w:b/>
                <w:bCs/>
                <w:color w:val="000000"/>
                <w:sz w:val="22"/>
                <w:szCs w:val="22"/>
              </w:rPr>
              <w:t>ficha técnica N°11</w:t>
            </w:r>
          </w:p>
        </w:tc>
        <w:tc>
          <w:tcPr>
            <w:tcW w:w="1240" w:type="dxa"/>
            <w:tcBorders>
              <w:top w:val="nil"/>
              <w:left w:val="nil"/>
              <w:bottom w:val="single" w:sz="4" w:space="0" w:color="auto"/>
              <w:right w:val="single" w:sz="4" w:space="0" w:color="auto"/>
            </w:tcBorders>
            <w:shd w:val="clear" w:color="auto" w:fill="auto"/>
            <w:noWrap/>
            <w:vAlign w:val="center"/>
            <w:hideMark/>
          </w:tcPr>
          <w:p w14:paraId="2F850158"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1C916C81"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11FC5B0C"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193D8818"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447D89A7"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148676BE"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12</w:t>
            </w:r>
          </w:p>
        </w:tc>
        <w:tc>
          <w:tcPr>
            <w:tcW w:w="1118" w:type="dxa"/>
            <w:tcBorders>
              <w:top w:val="nil"/>
              <w:left w:val="nil"/>
              <w:bottom w:val="single" w:sz="4" w:space="0" w:color="auto"/>
              <w:right w:val="single" w:sz="4" w:space="0" w:color="auto"/>
            </w:tcBorders>
            <w:shd w:val="clear" w:color="auto" w:fill="auto"/>
            <w:noWrap/>
            <w:vAlign w:val="center"/>
            <w:hideMark/>
          </w:tcPr>
          <w:p w14:paraId="05860389"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56101544</w:t>
            </w:r>
          </w:p>
        </w:tc>
        <w:tc>
          <w:tcPr>
            <w:tcW w:w="3647" w:type="dxa"/>
            <w:tcBorders>
              <w:top w:val="nil"/>
              <w:left w:val="nil"/>
              <w:bottom w:val="single" w:sz="4" w:space="0" w:color="auto"/>
              <w:right w:val="single" w:sz="4" w:space="0" w:color="auto"/>
            </w:tcBorders>
            <w:shd w:val="clear" w:color="auto" w:fill="auto"/>
            <w:vAlign w:val="center"/>
            <w:hideMark/>
          </w:tcPr>
          <w:p w14:paraId="01424E34"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Espejo rectangular de cuerpo entero ver </w:t>
            </w:r>
            <w:r w:rsidRPr="00E71FC5">
              <w:rPr>
                <w:rFonts w:asciiTheme="majorHAnsi" w:hAnsiTheme="majorHAnsi" w:cstheme="majorHAnsi"/>
                <w:b/>
                <w:bCs/>
                <w:color w:val="000000"/>
                <w:sz w:val="22"/>
                <w:szCs w:val="22"/>
              </w:rPr>
              <w:t>ficha técnica N°12</w:t>
            </w:r>
          </w:p>
        </w:tc>
        <w:tc>
          <w:tcPr>
            <w:tcW w:w="1240" w:type="dxa"/>
            <w:tcBorders>
              <w:top w:val="nil"/>
              <w:left w:val="nil"/>
              <w:bottom w:val="single" w:sz="4" w:space="0" w:color="auto"/>
              <w:right w:val="single" w:sz="4" w:space="0" w:color="auto"/>
            </w:tcBorders>
            <w:shd w:val="clear" w:color="auto" w:fill="auto"/>
            <w:noWrap/>
            <w:vAlign w:val="center"/>
            <w:hideMark/>
          </w:tcPr>
          <w:p w14:paraId="67BED38A"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1EC64D3F"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388E2F59"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41BB2B6B"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1F280E75" w14:textId="77777777" w:rsidTr="00E71FC5">
        <w:trPr>
          <w:trHeight w:val="585"/>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1F16A715"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13</w:t>
            </w:r>
          </w:p>
        </w:tc>
        <w:tc>
          <w:tcPr>
            <w:tcW w:w="1118" w:type="dxa"/>
            <w:tcBorders>
              <w:top w:val="nil"/>
              <w:left w:val="nil"/>
              <w:bottom w:val="single" w:sz="4" w:space="0" w:color="auto"/>
              <w:right w:val="single" w:sz="4" w:space="0" w:color="auto"/>
            </w:tcBorders>
            <w:shd w:val="clear" w:color="auto" w:fill="auto"/>
            <w:noWrap/>
            <w:vAlign w:val="center"/>
            <w:hideMark/>
          </w:tcPr>
          <w:p w14:paraId="43149B2F"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73111603</w:t>
            </w:r>
          </w:p>
        </w:tc>
        <w:tc>
          <w:tcPr>
            <w:tcW w:w="3647" w:type="dxa"/>
            <w:tcBorders>
              <w:top w:val="nil"/>
              <w:left w:val="nil"/>
              <w:bottom w:val="single" w:sz="4" w:space="0" w:color="auto"/>
              <w:right w:val="single" w:sz="4" w:space="0" w:color="auto"/>
            </w:tcBorders>
            <w:shd w:val="clear" w:color="auto" w:fill="auto"/>
            <w:vAlign w:val="center"/>
            <w:hideMark/>
          </w:tcPr>
          <w:p w14:paraId="089229A7"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Tablado / tendido de Cama – Madera para cama de 90 x 190 ver </w:t>
            </w:r>
            <w:r w:rsidRPr="00E71FC5">
              <w:rPr>
                <w:rFonts w:asciiTheme="majorHAnsi" w:hAnsiTheme="majorHAnsi" w:cstheme="majorHAnsi"/>
                <w:b/>
                <w:bCs/>
                <w:color w:val="000000"/>
                <w:sz w:val="22"/>
                <w:szCs w:val="22"/>
              </w:rPr>
              <w:t>ficha técnica N°13</w:t>
            </w:r>
          </w:p>
        </w:tc>
        <w:tc>
          <w:tcPr>
            <w:tcW w:w="1240" w:type="dxa"/>
            <w:tcBorders>
              <w:top w:val="nil"/>
              <w:left w:val="nil"/>
              <w:bottom w:val="single" w:sz="4" w:space="0" w:color="auto"/>
              <w:right w:val="single" w:sz="4" w:space="0" w:color="auto"/>
            </w:tcBorders>
            <w:shd w:val="clear" w:color="auto" w:fill="auto"/>
            <w:noWrap/>
            <w:vAlign w:val="center"/>
            <w:hideMark/>
          </w:tcPr>
          <w:p w14:paraId="6A549B65"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4ADA6694"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379E2364"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48C0952F"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r w:rsidR="00E71FC5" w:rsidRPr="00E71FC5" w14:paraId="162DF048" w14:textId="77777777" w:rsidTr="00E71F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5EBF64EF"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14</w:t>
            </w:r>
          </w:p>
        </w:tc>
        <w:tc>
          <w:tcPr>
            <w:tcW w:w="1118" w:type="dxa"/>
            <w:tcBorders>
              <w:top w:val="nil"/>
              <w:left w:val="nil"/>
              <w:bottom w:val="single" w:sz="4" w:space="0" w:color="auto"/>
              <w:right w:val="single" w:sz="4" w:space="0" w:color="auto"/>
            </w:tcBorders>
            <w:shd w:val="clear" w:color="auto" w:fill="auto"/>
            <w:noWrap/>
            <w:vAlign w:val="center"/>
            <w:hideMark/>
          </w:tcPr>
          <w:p w14:paraId="6F901B22"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49121510</w:t>
            </w:r>
          </w:p>
        </w:tc>
        <w:tc>
          <w:tcPr>
            <w:tcW w:w="3647" w:type="dxa"/>
            <w:tcBorders>
              <w:top w:val="nil"/>
              <w:left w:val="nil"/>
              <w:bottom w:val="single" w:sz="4" w:space="0" w:color="auto"/>
              <w:right w:val="single" w:sz="4" w:space="0" w:color="auto"/>
            </w:tcBorders>
            <w:shd w:val="clear" w:color="auto" w:fill="auto"/>
            <w:vAlign w:val="center"/>
            <w:hideMark/>
          </w:tcPr>
          <w:p w14:paraId="066DE04A" w14:textId="77777777" w:rsidR="00E71FC5" w:rsidRPr="00E71FC5" w:rsidRDefault="00E71FC5">
            <w:pPr>
              <w:jc w:val="both"/>
              <w:rPr>
                <w:rFonts w:asciiTheme="majorHAnsi" w:hAnsiTheme="majorHAnsi" w:cstheme="majorHAnsi"/>
                <w:color w:val="000000"/>
                <w:sz w:val="22"/>
                <w:szCs w:val="22"/>
              </w:rPr>
            </w:pPr>
            <w:r w:rsidRPr="00E71FC5">
              <w:rPr>
                <w:rFonts w:asciiTheme="majorHAnsi" w:hAnsiTheme="majorHAnsi" w:cstheme="majorHAnsi"/>
                <w:color w:val="000000"/>
                <w:sz w:val="22"/>
                <w:szCs w:val="22"/>
              </w:rPr>
              <w:t xml:space="preserve">Nevera con ruedas latitude 56 litros 60qt roja ver </w:t>
            </w:r>
            <w:r w:rsidRPr="00E71FC5">
              <w:rPr>
                <w:rFonts w:asciiTheme="majorHAnsi" w:hAnsiTheme="majorHAnsi" w:cstheme="majorHAnsi"/>
                <w:b/>
                <w:bCs/>
                <w:color w:val="000000"/>
                <w:sz w:val="22"/>
                <w:szCs w:val="22"/>
              </w:rPr>
              <w:t>ficha técnica N°14</w:t>
            </w:r>
          </w:p>
        </w:tc>
        <w:tc>
          <w:tcPr>
            <w:tcW w:w="1240" w:type="dxa"/>
            <w:tcBorders>
              <w:top w:val="nil"/>
              <w:left w:val="nil"/>
              <w:bottom w:val="single" w:sz="4" w:space="0" w:color="auto"/>
              <w:right w:val="single" w:sz="4" w:space="0" w:color="auto"/>
            </w:tcBorders>
            <w:shd w:val="clear" w:color="auto" w:fill="auto"/>
            <w:noWrap/>
            <w:vAlign w:val="center"/>
            <w:hideMark/>
          </w:tcPr>
          <w:p w14:paraId="404230F4"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1</w:t>
            </w:r>
          </w:p>
        </w:tc>
        <w:tc>
          <w:tcPr>
            <w:tcW w:w="925" w:type="dxa"/>
            <w:tcBorders>
              <w:top w:val="nil"/>
              <w:left w:val="nil"/>
              <w:bottom w:val="single" w:sz="4" w:space="0" w:color="auto"/>
              <w:right w:val="single" w:sz="4" w:space="0" w:color="auto"/>
            </w:tcBorders>
            <w:shd w:val="clear" w:color="000000" w:fill="FFFFFF"/>
            <w:vAlign w:val="center"/>
            <w:hideMark/>
          </w:tcPr>
          <w:p w14:paraId="465CD1B7" w14:textId="77777777" w:rsidR="00E71FC5" w:rsidRPr="00E71FC5" w:rsidRDefault="00E71FC5">
            <w:pPr>
              <w:jc w:val="center"/>
              <w:rPr>
                <w:rFonts w:asciiTheme="majorHAnsi" w:hAnsiTheme="majorHAnsi" w:cstheme="majorHAnsi"/>
                <w:color w:val="000000"/>
                <w:sz w:val="22"/>
                <w:szCs w:val="22"/>
              </w:rPr>
            </w:pPr>
            <w:r w:rsidRPr="00E71FC5">
              <w:rPr>
                <w:rFonts w:asciiTheme="majorHAnsi" w:hAnsiTheme="majorHAnsi" w:cstheme="majorHAnsi"/>
                <w:color w:val="000000"/>
                <w:sz w:val="22"/>
                <w:szCs w:val="22"/>
              </w:rPr>
              <w:t>UN</w:t>
            </w:r>
          </w:p>
        </w:tc>
        <w:tc>
          <w:tcPr>
            <w:tcW w:w="1180" w:type="dxa"/>
            <w:tcBorders>
              <w:top w:val="nil"/>
              <w:left w:val="nil"/>
              <w:bottom w:val="single" w:sz="4" w:space="0" w:color="auto"/>
              <w:right w:val="single" w:sz="4" w:space="0" w:color="auto"/>
            </w:tcBorders>
            <w:shd w:val="clear" w:color="auto" w:fill="auto"/>
            <w:noWrap/>
            <w:vAlign w:val="center"/>
            <w:hideMark/>
          </w:tcPr>
          <w:p w14:paraId="71E6217C"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center"/>
            <w:hideMark/>
          </w:tcPr>
          <w:p w14:paraId="249F813E" w14:textId="77777777" w:rsidR="00E71FC5" w:rsidRPr="00E71FC5" w:rsidRDefault="00E71FC5">
            <w:pPr>
              <w:rPr>
                <w:rFonts w:asciiTheme="majorHAnsi" w:hAnsiTheme="majorHAnsi" w:cstheme="majorHAnsi"/>
                <w:color w:val="000000"/>
                <w:sz w:val="22"/>
                <w:szCs w:val="22"/>
              </w:rPr>
            </w:pPr>
            <w:r w:rsidRPr="00E71FC5">
              <w:rPr>
                <w:rFonts w:asciiTheme="majorHAnsi" w:hAnsiTheme="majorHAnsi" w:cstheme="majorHAnsi"/>
                <w:color w:val="000000"/>
                <w:sz w:val="22"/>
                <w:szCs w:val="22"/>
              </w:rPr>
              <w:t> </w:t>
            </w:r>
          </w:p>
        </w:tc>
      </w:tr>
    </w:tbl>
    <w:p w14:paraId="63030940" w14:textId="77777777" w:rsidR="00E71FC5" w:rsidRDefault="00E71FC5">
      <w:pPr>
        <w:pBdr>
          <w:top w:val="nil"/>
          <w:left w:val="nil"/>
          <w:bottom w:val="nil"/>
          <w:right w:val="nil"/>
          <w:between w:val="nil"/>
        </w:pBdr>
        <w:rPr>
          <w:rFonts w:ascii="Arial" w:eastAsia="Arial" w:hAnsi="Arial" w:cs="Arial"/>
          <w:b/>
          <w:color w:val="000000"/>
          <w:sz w:val="22"/>
          <w:szCs w:val="22"/>
        </w:rPr>
      </w:pPr>
    </w:p>
    <w:p w14:paraId="46C50D2E" w14:textId="376DFDA8" w:rsidR="00572AD5" w:rsidRDefault="00000000">
      <w:p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Unidades de medida:</w:t>
      </w:r>
    </w:p>
    <w:p w14:paraId="10978B69" w14:textId="77777777" w:rsidR="00572AD5" w:rsidRDefault="00572AD5">
      <w:pPr>
        <w:pBdr>
          <w:top w:val="nil"/>
          <w:left w:val="nil"/>
          <w:bottom w:val="nil"/>
          <w:right w:val="nil"/>
          <w:between w:val="nil"/>
        </w:pBdr>
        <w:rPr>
          <w:rFonts w:ascii="Arial" w:eastAsia="Arial" w:hAnsi="Arial" w:cs="Arial"/>
          <w:color w:val="000000"/>
          <w:sz w:val="22"/>
          <w:szCs w:val="22"/>
        </w:rPr>
      </w:pPr>
    </w:p>
    <w:p w14:paraId="20CBEBA0"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UN:</w:t>
      </w:r>
      <w:r>
        <w:rPr>
          <w:rFonts w:ascii="Arial" w:eastAsia="Arial" w:hAnsi="Arial" w:cs="Arial"/>
          <w:color w:val="000000"/>
          <w:sz w:val="22"/>
          <w:szCs w:val="22"/>
        </w:rPr>
        <w:t xml:space="preserve"> Unidad </w:t>
      </w:r>
    </w:p>
    <w:p w14:paraId="3C7C2DF2" w14:textId="4224D9E7" w:rsidR="00572AD5" w:rsidRDefault="00572AD5" w:rsidP="005F4D86">
      <w:pPr>
        <w:pBdr>
          <w:top w:val="nil"/>
          <w:left w:val="nil"/>
          <w:bottom w:val="nil"/>
          <w:right w:val="nil"/>
          <w:between w:val="nil"/>
        </w:pBdr>
        <w:ind w:left="720"/>
        <w:jc w:val="both"/>
        <w:rPr>
          <w:color w:val="000000"/>
          <w:sz w:val="22"/>
          <w:szCs w:val="22"/>
        </w:rPr>
      </w:pPr>
    </w:p>
    <w:p w14:paraId="4A32E180" w14:textId="77777777" w:rsidR="00FC101F" w:rsidRDefault="00FC101F" w:rsidP="005F4D86">
      <w:pPr>
        <w:pBdr>
          <w:top w:val="nil"/>
          <w:left w:val="nil"/>
          <w:bottom w:val="nil"/>
          <w:right w:val="nil"/>
          <w:between w:val="nil"/>
        </w:pBdr>
        <w:ind w:left="720"/>
        <w:jc w:val="both"/>
        <w:rPr>
          <w:color w:val="000000"/>
          <w:sz w:val="22"/>
          <w:szCs w:val="22"/>
        </w:rPr>
      </w:pPr>
    </w:p>
    <w:p w14:paraId="719DC024" w14:textId="77777777" w:rsidR="00572AD5" w:rsidRDefault="00000000">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lastRenderedPageBreak/>
        <w:t>CONDICIONES DEL CONTRATO</w:t>
      </w:r>
    </w:p>
    <w:p w14:paraId="4BE1164B" w14:textId="77777777" w:rsidR="00572AD5" w:rsidRDefault="00572AD5">
      <w:pPr>
        <w:pBdr>
          <w:top w:val="nil"/>
          <w:left w:val="nil"/>
          <w:bottom w:val="nil"/>
          <w:right w:val="nil"/>
          <w:between w:val="nil"/>
        </w:pBdr>
        <w:spacing w:line="276" w:lineRule="auto"/>
        <w:ind w:left="720"/>
        <w:jc w:val="both"/>
        <w:rPr>
          <w:rFonts w:ascii="Arial" w:eastAsia="Arial" w:hAnsi="Arial" w:cs="Arial"/>
          <w:b/>
          <w:color w:val="000000"/>
          <w:sz w:val="22"/>
          <w:szCs w:val="22"/>
        </w:rPr>
      </w:pPr>
    </w:p>
    <w:p w14:paraId="33D92025" w14:textId="685977FC" w:rsidR="00572AD5" w:rsidRPr="008A325B" w:rsidRDefault="00000000" w:rsidP="008A325B">
      <w:pPr>
        <w:pBdr>
          <w:top w:val="nil"/>
          <w:left w:val="nil"/>
          <w:bottom w:val="nil"/>
          <w:right w:val="nil"/>
          <w:between w:val="nil"/>
        </w:pBdr>
        <w:spacing w:line="276" w:lineRule="auto"/>
        <w:ind w:left="1440"/>
        <w:jc w:val="both"/>
        <w:rPr>
          <w:rFonts w:ascii="Arial" w:eastAsia="Arial" w:hAnsi="Arial" w:cs="Arial"/>
          <w:color w:val="000000"/>
          <w:sz w:val="22"/>
          <w:szCs w:val="22"/>
          <w:highlight w:val="yellow"/>
        </w:rPr>
      </w:pPr>
      <w:r w:rsidRPr="008A325B">
        <w:rPr>
          <w:rFonts w:ascii="Arial" w:eastAsia="Arial" w:hAnsi="Arial" w:cs="Arial"/>
          <w:b/>
          <w:color w:val="000000"/>
          <w:sz w:val="22"/>
          <w:szCs w:val="22"/>
        </w:rPr>
        <w:t xml:space="preserve">Plazo del contrato: </w:t>
      </w:r>
      <w:r w:rsidR="008A325B" w:rsidRPr="008A325B">
        <w:rPr>
          <w:rFonts w:ascii="Arial" w:eastAsia="Arial" w:hAnsi="Arial" w:cs="Arial"/>
          <w:color w:val="000000"/>
          <w:sz w:val="22"/>
          <w:szCs w:val="22"/>
        </w:rPr>
        <w:t>En general, el plazo máximo de ejecución del contrato será de tres (03) meses, contados a partir del cumplimiento de los requisitos de ejecución, como son: 1) Expedición del Compromiso de Registro Presupuestal, 2) Aprobación de las pólizas de garantía exigidas y 3) Diligenciamiento del Acta de Inicio (cuando aplique).</w:t>
      </w:r>
    </w:p>
    <w:p w14:paraId="48610C09" w14:textId="77777777" w:rsidR="008A325B" w:rsidRPr="008A325B" w:rsidRDefault="008A325B" w:rsidP="008A325B">
      <w:pPr>
        <w:pBdr>
          <w:top w:val="nil"/>
          <w:left w:val="nil"/>
          <w:bottom w:val="nil"/>
          <w:right w:val="nil"/>
          <w:between w:val="nil"/>
        </w:pBdr>
        <w:spacing w:line="276" w:lineRule="auto"/>
        <w:ind w:left="1440"/>
        <w:jc w:val="both"/>
        <w:rPr>
          <w:rFonts w:ascii="Arial" w:eastAsia="Arial" w:hAnsi="Arial" w:cs="Arial"/>
          <w:color w:val="000000"/>
          <w:sz w:val="22"/>
          <w:szCs w:val="22"/>
          <w:highlight w:val="yellow"/>
        </w:rPr>
      </w:pPr>
    </w:p>
    <w:p w14:paraId="2BB2F758" w14:textId="24489F89" w:rsidR="00572AD5" w:rsidRDefault="00000000" w:rsidP="008A325B">
      <w:pPr>
        <w:pBdr>
          <w:top w:val="nil"/>
          <w:left w:val="nil"/>
          <w:bottom w:val="nil"/>
          <w:right w:val="nil"/>
          <w:between w:val="nil"/>
        </w:pBdr>
        <w:ind w:left="1440"/>
        <w:jc w:val="both"/>
        <w:rPr>
          <w:color w:val="000000"/>
          <w:sz w:val="22"/>
          <w:szCs w:val="22"/>
        </w:rPr>
      </w:pPr>
      <w:r>
        <w:rPr>
          <w:rFonts w:ascii="Arial" w:eastAsia="Arial" w:hAnsi="Arial" w:cs="Arial"/>
          <w:b/>
          <w:color w:val="000000"/>
          <w:sz w:val="22"/>
          <w:szCs w:val="22"/>
        </w:rPr>
        <w:t xml:space="preserve">Lugar de Ejecución: </w:t>
      </w:r>
      <w:r w:rsidR="008A325B" w:rsidRPr="008A325B">
        <w:rPr>
          <w:rFonts w:ascii="Arial" w:eastAsia="Arial" w:hAnsi="Arial" w:cs="Arial"/>
          <w:color w:val="000000"/>
          <w:sz w:val="22"/>
          <w:szCs w:val="22"/>
        </w:rPr>
        <w:t>La entrega de todos los elementos se llevará a cabo en las instalaciones del Centro Agropecuario La Granja – El Espinal, ubicada en el Km. 5 vía Espinal – Ibagué, vereda Dindalito.</w:t>
      </w:r>
    </w:p>
    <w:p w14:paraId="0BC7C4E3" w14:textId="77777777" w:rsidR="00572AD5" w:rsidRDefault="00572AD5">
      <w:pPr>
        <w:pBdr>
          <w:top w:val="nil"/>
          <w:left w:val="nil"/>
          <w:bottom w:val="nil"/>
          <w:right w:val="nil"/>
          <w:between w:val="nil"/>
        </w:pBdr>
        <w:ind w:left="1440"/>
        <w:jc w:val="both"/>
        <w:rPr>
          <w:rFonts w:ascii="Arial" w:eastAsia="Arial" w:hAnsi="Arial" w:cs="Arial"/>
          <w:color w:val="000000"/>
          <w:sz w:val="22"/>
          <w:szCs w:val="22"/>
        </w:rPr>
      </w:pPr>
    </w:p>
    <w:p w14:paraId="09D8EABF" w14:textId="77777777" w:rsidR="00572AD5" w:rsidRDefault="00572AD5">
      <w:pPr>
        <w:pBdr>
          <w:top w:val="nil"/>
          <w:left w:val="nil"/>
          <w:bottom w:val="nil"/>
          <w:right w:val="nil"/>
          <w:between w:val="nil"/>
        </w:pBdr>
        <w:spacing w:line="276" w:lineRule="auto"/>
        <w:ind w:left="720"/>
        <w:rPr>
          <w:rFonts w:ascii="Arial" w:eastAsia="Arial" w:hAnsi="Arial" w:cs="Arial"/>
          <w:color w:val="000000"/>
          <w:sz w:val="22"/>
          <w:szCs w:val="22"/>
        </w:rPr>
      </w:pPr>
    </w:p>
    <w:p w14:paraId="61B2504A" w14:textId="77777777" w:rsidR="00572AD5" w:rsidRDefault="00000000">
      <w:pPr>
        <w:pBdr>
          <w:top w:val="nil"/>
          <w:left w:val="nil"/>
          <w:bottom w:val="nil"/>
          <w:right w:val="nil"/>
          <w:between w:val="nil"/>
        </w:pBdr>
        <w:spacing w:line="276" w:lineRule="auto"/>
        <w:ind w:left="360"/>
        <w:jc w:val="center"/>
        <w:rPr>
          <w:rFonts w:ascii="Arial" w:eastAsia="Arial" w:hAnsi="Arial" w:cs="Arial"/>
          <w:color w:val="000000"/>
          <w:sz w:val="22"/>
          <w:szCs w:val="22"/>
        </w:rPr>
      </w:pPr>
      <w:r>
        <w:rPr>
          <w:noProof/>
        </w:rPr>
        <w:drawing>
          <wp:anchor distT="0" distB="0" distL="114300" distR="114300" simplePos="0" relativeHeight="251658240" behindDoc="0" locked="0" layoutInCell="1" hidden="0" allowOverlap="1" wp14:anchorId="16BA306D" wp14:editId="7FE086A2">
            <wp:simplePos x="0" y="0"/>
            <wp:positionH relativeFrom="column">
              <wp:posOffset>1068118</wp:posOffset>
            </wp:positionH>
            <wp:positionV relativeFrom="paragraph">
              <wp:posOffset>977</wp:posOffset>
            </wp:positionV>
            <wp:extent cx="4276725" cy="2009775"/>
            <wp:effectExtent l="0" t="0" r="0" b="0"/>
            <wp:wrapSquare wrapText="bothSides" distT="0" distB="0" distL="114300" distR="114300"/>
            <wp:docPr id="25" name="image27.png"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7.png" descr="Interfaz de usuario gráfica, Aplicación&#10;&#10;Descripción generada automáticamente"/>
                    <pic:cNvPicPr preferRelativeResize="0"/>
                  </pic:nvPicPr>
                  <pic:blipFill>
                    <a:blip r:embed="rId7"/>
                    <a:srcRect l="25159" t="26907" r="3344" b="7099"/>
                    <a:stretch>
                      <a:fillRect/>
                    </a:stretch>
                  </pic:blipFill>
                  <pic:spPr>
                    <a:xfrm>
                      <a:off x="0" y="0"/>
                      <a:ext cx="4276725" cy="2009775"/>
                    </a:xfrm>
                    <a:prstGeom prst="rect">
                      <a:avLst/>
                    </a:prstGeom>
                    <a:ln/>
                  </pic:spPr>
                </pic:pic>
              </a:graphicData>
            </a:graphic>
          </wp:anchor>
        </w:drawing>
      </w:r>
    </w:p>
    <w:p w14:paraId="10BF1BD9"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0E9C1C11"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15ED6F8D"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0DD309D"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09EE04F"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7A101867"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6852239"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4C7ED9D2"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39772375"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2A981500"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276A5E25"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36AA6D4F" w14:textId="77777777" w:rsidR="00572AD5" w:rsidRDefault="00000000">
      <w:pPr>
        <w:pBdr>
          <w:top w:val="nil"/>
          <w:left w:val="nil"/>
          <w:bottom w:val="nil"/>
          <w:right w:val="nil"/>
          <w:between w:val="nil"/>
        </w:pBdr>
        <w:spacing w:line="276" w:lineRule="auto"/>
        <w:ind w:left="360"/>
        <w:jc w:val="center"/>
        <w:rPr>
          <w:rFonts w:ascii="Arial" w:eastAsia="Arial" w:hAnsi="Arial" w:cs="Arial"/>
          <w:color w:val="000000"/>
          <w:sz w:val="22"/>
          <w:szCs w:val="22"/>
        </w:rPr>
      </w:pPr>
      <w:r>
        <w:rPr>
          <w:rFonts w:ascii="Arial" w:eastAsia="Arial" w:hAnsi="Arial" w:cs="Arial"/>
          <w:color w:val="000000"/>
          <w:sz w:val="22"/>
          <w:szCs w:val="22"/>
        </w:rPr>
        <w:t>Figura 1.  Localizaciòn del predio</w:t>
      </w:r>
    </w:p>
    <w:p w14:paraId="43304E8F" w14:textId="77777777" w:rsidR="00572AD5" w:rsidRDefault="00572AD5">
      <w:pPr>
        <w:pBdr>
          <w:top w:val="nil"/>
          <w:left w:val="nil"/>
          <w:bottom w:val="nil"/>
          <w:right w:val="nil"/>
          <w:between w:val="nil"/>
        </w:pBdr>
        <w:spacing w:after="200" w:line="276" w:lineRule="auto"/>
        <w:ind w:left="360"/>
        <w:jc w:val="center"/>
        <w:rPr>
          <w:rFonts w:ascii="Arial" w:eastAsia="Arial" w:hAnsi="Arial" w:cs="Arial"/>
          <w:color w:val="000000"/>
          <w:sz w:val="22"/>
          <w:szCs w:val="22"/>
        </w:rPr>
      </w:pPr>
    </w:p>
    <w:p w14:paraId="2F429C24" w14:textId="77777777" w:rsidR="00572AD5" w:rsidRDefault="00000000">
      <w:pPr>
        <w:numPr>
          <w:ilvl w:val="0"/>
          <w:numId w:val="27"/>
        </w:numPr>
        <w:pBdr>
          <w:top w:val="nil"/>
          <w:left w:val="nil"/>
          <w:bottom w:val="nil"/>
          <w:right w:val="nil"/>
          <w:between w:val="nil"/>
        </w:pBdr>
        <w:rPr>
          <w:rFonts w:ascii="Arial" w:eastAsia="Arial" w:hAnsi="Arial" w:cs="Arial"/>
          <w:color w:val="000000"/>
          <w:sz w:val="22"/>
          <w:szCs w:val="22"/>
        </w:rPr>
      </w:pPr>
      <w:r>
        <w:rPr>
          <w:rFonts w:ascii="Arial" w:eastAsia="Arial" w:hAnsi="Arial" w:cs="Arial"/>
          <w:b/>
          <w:color w:val="000000"/>
          <w:sz w:val="22"/>
          <w:szCs w:val="22"/>
        </w:rPr>
        <w:t>CONDICIONES MÍNIMAS REQUERIDAS:</w:t>
      </w:r>
    </w:p>
    <w:p w14:paraId="296CE2E7" w14:textId="77777777" w:rsidR="00572AD5" w:rsidRDefault="00572AD5">
      <w:pPr>
        <w:pBdr>
          <w:top w:val="nil"/>
          <w:left w:val="nil"/>
          <w:bottom w:val="nil"/>
          <w:right w:val="nil"/>
          <w:between w:val="nil"/>
        </w:pBdr>
        <w:rPr>
          <w:rFonts w:ascii="Arial" w:eastAsia="Arial" w:hAnsi="Arial" w:cs="Arial"/>
          <w:color w:val="000000"/>
          <w:sz w:val="22"/>
          <w:szCs w:val="22"/>
        </w:rPr>
      </w:pPr>
    </w:p>
    <w:p w14:paraId="724603AB" w14:textId="343E3C7D"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Ejecutar el objeto del Contrato en las condiciones de calidad, oportunidad, y obligaciones definidas en los Documentos del Proceso de contratación.</w:t>
      </w:r>
    </w:p>
    <w:p w14:paraId="0307B0E2" w14:textId="52456B73"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Cumplir con las especificaciones técnicas del objeto presentadas en la oferta.</w:t>
      </w:r>
    </w:p>
    <w:p w14:paraId="59198805" w14:textId="277A5F10"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Dar a conocer al SENA cualquier reclamación, petición, orden o similar de terceros que indirecta o directamente pueda tener algún efecto sobre la ejecución del Contrato o sobre sus obligaciones.</w:t>
      </w:r>
    </w:p>
    <w:p w14:paraId="43841151" w14:textId="77A7C6A1"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Obrar con lealtad y buena fe en el desarrollo del contrato.</w:t>
      </w:r>
    </w:p>
    <w:p w14:paraId="3C9937AD" w14:textId="6503A2D5"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Las demás que se estimen de acuerdo con la naturaleza de la contratación</w:t>
      </w:r>
    </w:p>
    <w:p w14:paraId="5CF9CD39" w14:textId="23A31ED4" w:rsidR="00FD2D3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Los elementos por adquirir deberán ser entregados en el Centro Agropecuario la Granja El Espinal, en el tiempo y en las condiciones requeridas por el SENA.</w:t>
      </w:r>
    </w:p>
    <w:p w14:paraId="535E8291" w14:textId="72BD7E8F" w:rsidR="00572AD5" w:rsidRPr="00FD2D35" w:rsidRDefault="00FD2D35" w:rsidP="00FD2D35">
      <w:pPr>
        <w:pStyle w:val="Prrafodelista"/>
        <w:numPr>
          <w:ilvl w:val="0"/>
          <w:numId w:val="44"/>
        </w:numPr>
        <w:pBdr>
          <w:top w:val="nil"/>
          <w:left w:val="nil"/>
          <w:bottom w:val="nil"/>
          <w:right w:val="nil"/>
          <w:between w:val="nil"/>
        </w:pBdr>
        <w:ind w:left="709" w:hanging="425"/>
        <w:jc w:val="both"/>
        <w:rPr>
          <w:rFonts w:ascii="Arial" w:eastAsia="Arial" w:hAnsi="Arial" w:cs="Arial"/>
          <w:color w:val="000000"/>
          <w:sz w:val="22"/>
          <w:szCs w:val="22"/>
        </w:rPr>
      </w:pPr>
      <w:r w:rsidRPr="00FD2D35">
        <w:rPr>
          <w:rFonts w:ascii="Arial" w:eastAsia="Arial" w:hAnsi="Arial" w:cs="Arial"/>
          <w:color w:val="000000"/>
          <w:sz w:val="22"/>
          <w:szCs w:val="22"/>
        </w:rPr>
        <w:t>Cumplimiento de los requisitos legales, ambientales, de eficiencia energética y seguridad y salud en el trabajo de acuerdo con GCCON AN001AnexodeVerificacionCriteriosdeContratacionV6, que se establezcan en el estudio previo.</w:t>
      </w:r>
    </w:p>
    <w:p w14:paraId="30302BF3" w14:textId="77777777" w:rsidR="00FD2D35" w:rsidRDefault="00FD2D35">
      <w:pPr>
        <w:pBdr>
          <w:top w:val="nil"/>
          <w:left w:val="nil"/>
          <w:bottom w:val="nil"/>
          <w:right w:val="nil"/>
          <w:between w:val="nil"/>
        </w:pBdr>
        <w:jc w:val="both"/>
        <w:rPr>
          <w:rFonts w:ascii="Arial" w:eastAsia="Arial" w:hAnsi="Arial" w:cs="Arial"/>
          <w:color w:val="000000"/>
          <w:sz w:val="22"/>
          <w:szCs w:val="22"/>
        </w:rPr>
      </w:pPr>
    </w:p>
    <w:p w14:paraId="4569558A" w14:textId="77777777" w:rsidR="00FD2D35" w:rsidRDefault="00FD2D35">
      <w:pPr>
        <w:pBdr>
          <w:top w:val="nil"/>
          <w:left w:val="nil"/>
          <w:bottom w:val="nil"/>
          <w:right w:val="nil"/>
          <w:between w:val="nil"/>
        </w:pBdr>
        <w:jc w:val="both"/>
        <w:rPr>
          <w:rFonts w:ascii="Arial" w:eastAsia="Arial" w:hAnsi="Arial" w:cs="Arial"/>
          <w:color w:val="000000"/>
          <w:sz w:val="22"/>
          <w:szCs w:val="22"/>
        </w:rPr>
      </w:pPr>
    </w:p>
    <w:tbl>
      <w:tblPr>
        <w:tblStyle w:val="TableNormal0"/>
        <w:tblW w:w="89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3"/>
        <w:gridCol w:w="1848"/>
      </w:tblGrid>
      <w:tr w:rsidR="00FD2D35" w14:paraId="24C995CE" w14:textId="77777777" w:rsidTr="00FD2D35">
        <w:trPr>
          <w:trHeight w:val="316"/>
        </w:trPr>
        <w:tc>
          <w:tcPr>
            <w:tcW w:w="7083" w:type="dxa"/>
          </w:tcPr>
          <w:p w14:paraId="7BE33458" w14:textId="77777777" w:rsidR="00FD2D35" w:rsidRDefault="00FD2D35" w:rsidP="00025311">
            <w:pPr>
              <w:pStyle w:val="TableParagraph"/>
              <w:spacing w:before="48" w:line="249" w:lineRule="exact"/>
              <w:ind w:left="1989"/>
              <w:jc w:val="left"/>
              <w:rPr>
                <w:rFonts w:ascii="Arial" w:hAnsi="Arial"/>
                <w:b/>
              </w:rPr>
            </w:pPr>
            <w:r>
              <w:rPr>
                <w:rFonts w:ascii="Arial" w:hAnsi="Arial"/>
                <w:b/>
              </w:rPr>
              <w:t>DESCRIPCIÓN</w:t>
            </w:r>
            <w:r>
              <w:rPr>
                <w:rFonts w:ascii="Arial" w:hAnsi="Arial"/>
                <w:b/>
                <w:spacing w:val="-14"/>
              </w:rPr>
              <w:t xml:space="preserve"> </w:t>
            </w:r>
            <w:r>
              <w:rPr>
                <w:rFonts w:ascii="Arial" w:hAnsi="Arial"/>
                <w:b/>
              </w:rPr>
              <w:t>DEL</w:t>
            </w:r>
            <w:r>
              <w:rPr>
                <w:rFonts w:ascii="Arial" w:hAnsi="Arial"/>
                <w:b/>
                <w:spacing w:val="-14"/>
              </w:rPr>
              <w:t xml:space="preserve"> </w:t>
            </w:r>
            <w:r>
              <w:rPr>
                <w:rFonts w:ascii="Arial" w:hAnsi="Arial"/>
                <w:b/>
                <w:spacing w:val="-2"/>
              </w:rPr>
              <w:t>CRITERIO</w:t>
            </w:r>
          </w:p>
        </w:tc>
        <w:tc>
          <w:tcPr>
            <w:tcW w:w="1848" w:type="dxa"/>
          </w:tcPr>
          <w:p w14:paraId="565C0F73" w14:textId="77777777" w:rsidR="00FD2D35" w:rsidRDefault="00FD2D35" w:rsidP="00025311">
            <w:pPr>
              <w:pStyle w:val="TableParagraph"/>
              <w:spacing w:before="48" w:line="249" w:lineRule="exact"/>
              <w:ind w:left="177"/>
              <w:jc w:val="left"/>
              <w:rPr>
                <w:rFonts w:ascii="Arial"/>
                <w:b/>
              </w:rPr>
            </w:pPr>
            <w:r>
              <w:rPr>
                <w:rFonts w:ascii="Arial"/>
                <w:b/>
                <w:spacing w:val="-2"/>
              </w:rPr>
              <w:t>ETAPA</w:t>
            </w:r>
          </w:p>
        </w:tc>
      </w:tr>
      <w:tr w:rsidR="00FD2D35" w14:paraId="7C6A50C2" w14:textId="77777777" w:rsidTr="00FD2D35">
        <w:trPr>
          <w:trHeight w:val="2738"/>
        </w:trPr>
        <w:tc>
          <w:tcPr>
            <w:tcW w:w="7083" w:type="dxa"/>
          </w:tcPr>
          <w:p w14:paraId="6484D04F" w14:textId="77777777" w:rsidR="00FD2D35" w:rsidRDefault="00FD2D35" w:rsidP="00025311">
            <w:pPr>
              <w:pStyle w:val="TableParagraph"/>
              <w:spacing w:before="1"/>
              <w:jc w:val="left"/>
            </w:pPr>
          </w:p>
          <w:p w14:paraId="563843AF" w14:textId="77777777" w:rsidR="00FD2D35" w:rsidRDefault="00FD2D35" w:rsidP="00025311">
            <w:pPr>
              <w:pStyle w:val="TableParagraph"/>
              <w:ind w:left="177"/>
              <w:jc w:val="left"/>
            </w:pPr>
            <w:r>
              <w:t>El</w:t>
            </w:r>
            <w:r>
              <w:rPr>
                <w:spacing w:val="-4"/>
              </w:rPr>
              <w:t xml:space="preserve"> </w:t>
            </w:r>
            <w:r>
              <w:t>oferente</w:t>
            </w:r>
            <w:r>
              <w:rPr>
                <w:spacing w:val="-4"/>
              </w:rPr>
              <w:t xml:space="preserve"> </w:t>
            </w:r>
            <w:r>
              <w:t>deberá</w:t>
            </w:r>
            <w:r>
              <w:rPr>
                <w:spacing w:val="-3"/>
              </w:rPr>
              <w:t xml:space="preserve"> </w:t>
            </w:r>
            <w:r>
              <w:t>aportar</w:t>
            </w:r>
            <w:r>
              <w:rPr>
                <w:spacing w:val="-3"/>
              </w:rPr>
              <w:t xml:space="preserve"> </w:t>
            </w:r>
            <w:r>
              <w:t>a</w:t>
            </w:r>
            <w:r>
              <w:rPr>
                <w:spacing w:val="-5"/>
              </w:rPr>
              <w:t xml:space="preserve"> </w:t>
            </w:r>
            <w:r>
              <w:t>su</w:t>
            </w:r>
            <w:r>
              <w:rPr>
                <w:spacing w:val="-3"/>
              </w:rPr>
              <w:t xml:space="preserve"> </w:t>
            </w:r>
            <w:r>
              <w:rPr>
                <w:spacing w:val="-2"/>
              </w:rPr>
              <w:t>propuesta:</w:t>
            </w:r>
          </w:p>
          <w:p w14:paraId="47897A5F" w14:textId="77777777" w:rsidR="00FD2D35" w:rsidRDefault="00FD2D35" w:rsidP="00FD2D35">
            <w:pPr>
              <w:pStyle w:val="TableParagraph"/>
              <w:numPr>
                <w:ilvl w:val="0"/>
                <w:numId w:val="45"/>
              </w:numPr>
              <w:tabs>
                <w:tab w:val="left" w:pos="533"/>
              </w:tabs>
              <w:spacing w:before="252"/>
              <w:ind w:right="153" w:firstLine="0"/>
              <w:jc w:val="both"/>
            </w:pPr>
            <w:r>
              <w:t xml:space="preserve">Certificado de implementación del SG-SST firmada por el Representante Legal y </w:t>
            </w:r>
            <w:proofErr w:type="gramStart"/>
            <w:r>
              <w:t>Responsable</w:t>
            </w:r>
            <w:proofErr w:type="gramEnd"/>
            <w:r>
              <w:t xml:space="preserve"> del SG-SST</w:t>
            </w:r>
          </w:p>
          <w:p w14:paraId="00287AA3" w14:textId="77777777" w:rsidR="00FD2D35" w:rsidRDefault="00FD2D35" w:rsidP="00025311">
            <w:pPr>
              <w:pStyle w:val="TableParagraph"/>
              <w:spacing w:before="1"/>
              <w:jc w:val="left"/>
            </w:pPr>
          </w:p>
          <w:p w14:paraId="2BF576D0" w14:textId="77777777" w:rsidR="00FD2D35" w:rsidRDefault="00FD2D35" w:rsidP="00FD2D35">
            <w:pPr>
              <w:pStyle w:val="TableParagraph"/>
              <w:numPr>
                <w:ilvl w:val="0"/>
                <w:numId w:val="45"/>
              </w:numPr>
              <w:tabs>
                <w:tab w:val="left" w:pos="430"/>
              </w:tabs>
              <w:ind w:right="153" w:firstLine="0"/>
              <w:jc w:val="both"/>
            </w:pPr>
            <w:r>
              <w:t>Fotocopia de cédula, Certificado Vigente Curso de SG-SST de 50 Horas</w:t>
            </w:r>
            <w:r>
              <w:rPr>
                <w:spacing w:val="-5"/>
              </w:rPr>
              <w:t xml:space="preserve"> </w:t>
            </w:r>
            <w:r>
              <w:t>o</w:t>
            </w:r>
            <w:r>
              <w:rPr>
                <w:spacing w:val="-7"/>
              </w:rPr>
              <w:t xml:space="preserve"> </w:t>
            </w:r>
            <w:r>
              <w:t>su</w:t>
            </w:r>
            <w:r>
              <w:rPr>
                <w:spacing w:val="-7"/>
              </w:rPr>
              <w:t xml:space="preserve"> </w:t>
            </w:r>
            <w:r>
              <w:t>actualización</w:t>
            </w:r>
            <w:r>
              <w:rPr>
                <w:spacing w:val="-8"/>
              </w:rPr>
              <w:t xml:space="preserve"> </w:t>
            </w:r>
            <w:r>
              <w:t>Curso</w:t>
            </w:r>
            <w:r>
              <w:rPr>
                <w:spacing w:val="-5"/>
              </w:rPr>
              <w:t xml:space="preserve"> </w:t>
            </w:r>
            <w:r>
              <w:t>de</w:t>
            </w:r>
            <w:r>
              <w:rPr>
                <w:spacing w:val="-8"/>
              </w:rPr>
              <w:t xml:space="preserve"> </w:t>
            </w:r>
            <w:r>
              <w:t>20</w:t>
            </w:r>
            <w:r>
              <w:rPr>
                <w:spacing w:val="-8"/>
              </w:rPr>
              <w:t xml:space="preserve"> </w:t>
            </w:r>
            <w:r>
              <w:t>Horas</w:t>
            </w:r>
            <w:r>
              <w:rPr>
                <w:spacing w:val="-7"/>
              </w:rPr>
              <w:t xml:space="preserve"> </w:t>
            </w:r>
            <w:r>
              <w:t>y</w:t>
            </w:r>
            <w:r>
              <w:rPr>
                <w:spacing w:val="-7"/>
              </w:rPr>
              <w:t xml:space="preserve"> </w:t>
            </w:r>
            <w:r>
              <w:t>licencia</w:t>
            </w:r>
            <w:r>
              <w:rPr>
                <w:spacing w:val="-5"/>
              </w:rPr>
              <w:t xml:space="preserve"> </w:t>
            </w:r>
            <w:r>
              <w:t>de</w:t>
            </w:r>
            <w:r>
              <w:rPr>
                <w:spacing w:val="-8"/>
              </w:rPr>
              <w:t xml:space="preserve"> </w:t>
            </w:r>
            <w:r>
              <w:t>seguridad</w:t>
            </w:r>
            <w:r>
              <w:rPr>
                <w:spacing w:val="-8"/>
              </w:rPr>
              <w:t xml:space="preserve"> </w:t>
            </w:r>
            <w:r>
              <w:t>y salud en el trabajo del profesional Responsable del SG-SST.</w:t>
            </w:r>
          </w:p>
          <w:p w14:paraId="02DBDADD" w14:textId="4794D719" w:rsidR="00FD2D35" w:rsidRDefault="00FD2D35" w:rsidP="00FD2D35">
            <w:pPr>
              <w:pStyle w:val="TableParagraph"/>
              <w:numPr>
                <w:ilvl w:val="0"/>
                <w:numId w:val="45"/>
              </w:numPr>
              <w:tabs>
                <w:tab w:val="left" w:pos="359"/>
              </w:tabs>
              <w:spacing w:before="209" w:line="232" w:lineRule="exact"/>
              <w:ind w:left="359" w:hanging="182"/>
            </w:pPr>
            <w:r>
              <w:t>Evaluacion</w:t>
            </w:r>
            <w:r>
              <w:rPr>
                <w:spacing w:val="4"/>
              </w:rPr>
              <w:t xml:space="preserve"> </w:t>
            </w:r>
            <w:r>
              <w:t>de</w:t>
            </w:r>
            <w:r>
              <w:rPr>
                <w:spacing w:val="6"/>
              </w:rPr>
              <w:t xml:space="preserve"> </w:t>
            </w:r>
            <w:r>
              <w:t>estándares</w:t>
            </w:r>
            <w:r>
              <w:rPr>
                <w:spacing w:val="5"/>
              </w:rPr>
              <w:t xml:space="preserve"> </w:t>
            </w:r>
            <w:r>
              <w:t>mínimos</w:t>
            </w:r>
            <w:r>
              <w:rPr>
                <w:spacing w:val="7"/>
              </w:rPr>
              <w:t xml:space="preserve"> </w:t>
            </w:r>
            <w:r>
              <w:t>y</w:t>
            </w:r>
            <w:r>
              <w:rPr>
                <w:spacing w:val="5"/>
              </w:rPr>
              <w:t xml:space="preserve"> </w:t>
            </w:r>
            <w:r>
              <w:t>respectivo</w:t>
            </w:r>
            <w:r>
              <w:rPr>
                <w:spacing w:val="6"/>
              </w:rPr>
              <w:t xml:space="preserve"> </w:t>
            </w:r>
            <w:r>
              <w:t>plan</w:t>
            </w:r>
            <w:r>
              <w:rPr>
                <w:spacing w:val="7"/>
              </w:rPr>
              <w:t xml:space="preserve"> </w:t>
            </w:r>
            <w:r>
              <w:t>de</w:t>
            </w:r>
            <w:r>
              <w:rPr>
                <w:spacing w:val="6"/>
              </w:rPr>
              <w:t xml:space="preserve"> </w:t>
            </w:r>
            <w:r>
              <w:t>acción</w:t>
            </w:r>
            <w:r>
              <w:rPr>
                <w:spacing w:val="7"/>
              </w:rPr>
              <w:t xml:space="preserve"> </w:t>
            </w:r>
            <w:r>
              <w:rPr>
                <w:spacing w:val="-5"/>
              </w:rPr>
              <w:t>de</w:t>
            </w:r>
            <w:r>
              <w:t xml:space="preserve"> acuerdo</w:t>
            </w:r>
            <w:r>
              <w:rPr>
                <w:spacing w:val="-16"/>
              </w:rPr>
              <w:t xml:space="preserve"> </w:t>
            </w:r>
            <w:r>
              <w:t>con</w:t>
            </w:r>
            <w:r>
              <w:rPr>
                <w:spacing w:val="-15"/>
              </w:rPr>
              <w:t xml:space="preserve"> </w:t>
            </w:r>
            <w:r>
              <w:t>la</w:t>
            </w:r>
            <w:r>
              <w:rPr>
                <w:spacing w:val="-15"/>
              </w:rPr>
              <w:t xml:space="preserve"> </w:t>
            </w:r>
            <w:r>
              <w:t>aplicación</w:t>
            </w:r>
            <w:r>
              <w:rPr>
                <w:spacing w:val="-15"/>
              </w:rPr>
              <w:t xml:space="preserve"> </w:t>
            </w:r>
            <w:r>
              <w:t>de</w:t>
            </w:r>
            <w:r>
              <w:rPr>
                <w:spacing w:val="-16"/>
              </w:rPr>
              <w:t xml:space="preserve"> </w:t>
            </w:r>
            <w:r>
              <w:t>estándares</w:t>
            </w:r>
            <w:r>
              <w:rPr>
                <w:spacing w:val="-15"/>
              </w:rPr>
              <w:t xml:space="preserve"> </w:t>
            </w:r>
            <w:r>
              <w:t>mínimos</w:t>
            </w:r>
            <w:r>
              <w:rPr>
                <w:spacing w:val="-15"/>
              </w:rPr>
              <w:t xml:space="preserve"> </w:t>
            </w:r>
            <w:r>
              <w:t>aplicables</w:t>
            </w:r>
            <w:r>
              <w:rPr>
                <w:spacing w:val="-11"/>
              </w:rPr>
              <w:t xml:space="preserve"> </w:t>
            </w:r>
            <w:r>
              <w:t>-</w:t>
            </w:r>
            <w:r>
              <w:rPr>
                <w:spacing w:val="-14"/>
              </w:rPr>
              <w:t xml:space="preserve"> </w:t>
            </w:r>
            <w:r>
              <w:t>Decreto 1072/2015(2.2.4.6.1) y Res 0312-2019</w:t>
            </w:r>
          </w:p>
        </w:tc>
        <w:tc>
          <w:tcPr>
            <w:tcW w:w="1848" w:type="dxa"/>
          </w:tcPr>
          <w:p w14:paraId="47681538" w14:textId="77777777" w:rsidR="00FD2D35" w:rsidRDefault="00FD2D35" w:rsidP="00025311">
            <w:pPr>
              <w:pStyle w:val="TableParagraph"/>
              <w:jc w:val="left"/>
            </w:pPr>
          </w:p>
          <w:p w14:paraId="7F02E361" w14:textId="77777777" w:rsidR="00FD2D35" w:rsidRDefault="00FD2D35" w:rsidP="00025311">
            <w:pPr>
              <w:pStyle w:val="TableParagraph"/>
              <w:jc w:val="left"/>
            </w:pPr>
          </w:p>
          <w:p w14:paraId="2CD9EF82" w14:textId="77777777" w:rsidR="00FD2D35" w:rsidRDefault="00FD2D35" w:rsidP="00025311">
            <w:pPr>
              <w:pStyle w:val="TableParagraph"/>
              <w:jc w:val="left"/>
            </w:pPr>
          </w:p>
          <w:p w14:paraId="3FC61E07" w14:textId="77777777" w:rsidR="00FD2D35" w:rsidRDefault="00FD2D35" w:rsidP="00025311">
            <w:pPr>
              <w:pStyle w:val="TableParagraph"/>
              <w:jc w:val="left"/>
            </w:pPr>
          </w:p>
          <w:p w14:paraId="2E7AB72E" w14:textId="77777777" w:rsidR="00FD2D35" w:rsidRDefault="00FD2D35" w:rsidP="00025311">
            <w:pPr>
              <w:pStyle w:val="TableParagraph"/>
              <w:spacing w:before="206"/>
              <w:jc w:val="left"/>
            </w:pPr>
          </w:p>
          <w:p w14:paraId="34D221E0" w14:textId="77777777" w:rsidR="00FD2D35" w:rsidRDefault="00FD2D35" w:rsidP="00025311">
            <w:pPr>
              <w:pStyle w:val="TableParagraph"/>
              <w:ind w:left="324"/>
              <w:jc w:val="left"/>
            </w:pPr>
            <w:r>
              <w:rPr>
                <w:spacing w:val="-2"/>
              </w:rPr>
              <w:t>Precontractual</w:t>
            </w:r>
          </w:p>
        </w:tc>
      </w:tr>
      <w:tr w:rsidR="00FD2D35" w14:paraId="463064C7" w14:textId="77777777" w:rsidTr="00FD2D35">
        <w:trPr>
          <w:trHeight w:val="1516"/>
        </w:trPr>
        <w:tc>
          <w:tcPr>
            <w:tcW w:w="7083" w:type="dxa"/>
          </w:tcPr>
          <w:p w14:paraId="57C3C9D3" w14:textId="77777777" w:rsidR="00FD2D35" w:rsidRDefault="00FD2D35" w:rsidP="00025311">
            <w:pPr>
              <w:pStyle w:val="TableParagraph"/>
              <w:spacing w:before="252"/>
              <w:ind w:left="107" w:right="94"/>
              <w:jc w:val="both"/>
            </w:pPr>
            <w:r>
              <w:t>En caso de oferentes que cuenten con la calidad de trabajadores independientes, estos deben aportar a su oferta, el Certificado de Afiliación Voluntaria al Sistema General de Riesgos Laborales de que trata la Sección 5 del Capítulo 2 del Título 4 de la Parte 2 del Libro 2</w:t>
            </w:r>
          </w:p>
          <w:p w14:paraId="0D228B6E" w14:textId="77777777" w:rsidR="00FD2D35" w:rsidRDefault="00FD2D35" w:rsidP="00025311">
            <w:pPr>
              <w:pStyle w:val="TableParagraph"/>
              <w:spacing w:line="233" w:lineRule="exact"/>
              <w:ind w:left="107"/>
              <w:jc w:val="both"/>
            </w:pPr>
            <w:r>
              <w:t>del</w:t>
            </w:r>
            <w:r>
              <w:rPr>
                <w:spacing w:val="-4"/>
              </w:rPr>
              <w:t xml:space="preserve"> </w:t>
            </w:r>
            <w:r>
              <w:t>Decreto</w:t>
            </w:r>
            <w:r>
              <w:rPr>
                <w:spacing w:val="-6"/>
              </w:rPr>
              <w:t xml:space="preserve"> </w:t>
            </w:r>
            <w:r>
              <w:t>1072</w:t>
            </w:r>
            <w:r>
              <w:rPr>
                <w:spacing w:val="-4"/>
              </w:rPr>
              <w:t xml:space="preserve"> </w:t>
            </w:r>
            <w:r>
              <w:t>de</w:t>
            </w:r>
            <w:r>
              <w:rPr>
                <w:spacing w:val="-6"/>
              </w:rPr>
              <w:t xml:space="preserve"> </w:t>
            </w:r>
            <w:r>
              <w:t>2015,</w:t>
            </w:r>
            <w:r>
              <w:rPr>
                <w:spacing w:val="-2"/>
              </w:rPr>
              <w:t xml:space="preserve"> </w:t>
            </w:r>
            <w:r>
              <w:t>Único</w:t>
            </w:r>
            <w:r>
              <w:rPr>
                <w:spacing w:val="-6"/>
              </w:rPr>
              <w:t xml:space="preserve"> </w:t>
            </w:r>
            <w:r>
              <w:t>reglamentario</w:t>
            </w:r>
            <w:r>
              <w:rPr>
                <w:spacing w:val="-4"/>
              </w:rPr>
              <w:t xml:space="preserve"> </w:t>
            </w:r>
            <w:r>
              <w:t>del</w:t>
            </w:r>
            <w:r>
              <w:rPr>
                <w:spacing w:val="-5"/>
              </w:rPr>
              <w:t xml:space="preserve"> </w:t>
            </w:r>
            <w:r>
              <w:t>Sector</w:t>
            </w:r>
            <w:r>
              <w:rPr>
                <w:spacing w:val="-4"/>
              </w:rPr>
              <w:t xml:space="preserve"> </w:t>
            </w:r>
            <w:r>
              <w:rPr>
                <w:spacing w:val="-2"/>
              </w:rPr>
              <w:t>Trabajo.</w:t>
            </w:r>
          </w:p>
        </w:tc>
        <w:tc>
          <w:tcPr>
            <w:tcW w:w="1848" w:type="dxa"/>
          </w:tcPr>
          <w:p w14:paraId="014BC465" w14:textId="77777777" w:rsidR="00FD2D35" w:rsidRDefault="00FD2D35" w:rsidP="00025311">
            <w:pPr>
              <w:pStyle w:val="TableParagraph"/>
              <w:spacing w:before="188"/>
              <w:jc w:val="left"/>
              <w:rPr>
                <w:rFonts w:ascii="Trebuchet MS"/>
              </w:rPr>
            </w:pPr>
          </w:p>
          <w:p w14:paraId="52BA0A77" w14:textId="77777777" w:rsidR="00FD2D35" w:rsidRDefault="00FD2D35" w:rsidP="00025311">
            <w:pPr>
              <w:pStyle w:val="TableParagraph"/>
              <w:ind w:left="12" w:right="1"/>
            </w:pPr>
            <w:r>
              <w:rPr>
                <w:spacing w:val="-2"/>
              </w:rPr>
              <w:t>Precontractual</w:t>
            </w:r>
          </w:p>
        </w:tc>
      </w:tr>
      <w:tr w:rsidR="00FD2D35" w14:paraId="1C6CEBC2" w14:textId="77777777" w:rsidTr="00FD2D35">
        <w:trPr>
          <w:trHeight w:val="2016"/>
        </w:trPr>
        <w:tc>
          <w:tcPr>
            <w:tcW w:w="7083" w:type="dxa"/>
          </w:tcPr>
          <w:p w14:paraId="4996FAA9" w14:textId="77777777" w:rsidR="00FD2D35" w:rsidRDefault="00FD2D35" w:rsidP="00025311">
            <w:pPr>
              <w:pStyle w:val="TableParagraph"/>
              <w:spacing w:before="247"/>
              <w:ind w:left="177" w:right="158"/>
              <w:jc w:val="both"/>
            </w:pPr>
            <w:r>
              <w:t>El contratista seleccionado, durante la ejecución del contrato deberá aportar relación del personal que ingresa a las instalaciones con su respectivo</w:t>
            </w:r>
            <w:r>
              <w:rPr>
                <w:spacing w:val="-4"/>
              </w:rPr>
              <w:t xml:space="preserve"> </w:t>
            </w:r>
            <w:r>
              <w:t>pago</w:t>
            </w:r>
            <w:r>
              <w:rPr>
                <w:spacing w:val="-2"/>
              </w:rPr>
              <w:t xml:space="preserve"> </w:t>
            </w:r>
            <w:r>
              <w:t>de</w:t>
            </w:r>
            <w:r>
              <w:rPr>
                <w:spacing w:val="-3"/>
              </w:rPr>
              <w:t xml:space="preserve"> </w:t>
            </w:r>
            <w:r>
              <w:t>seguridad</w:t>
            </w:r>
            <w:r>
              <w:rPr>
                <w:spacing w:val="-1"/>
              </w:rPr>
              <w:t xml:space="preserve"> </w:t>
            </w:r>
            <w:r>
              <w:t>social, certificados</w:t>
            </w:r>
            <w:r>
              <w:rPr>
                <w:spacing w:val="-4"/>
              </w:rPr>
              <w:t xml:space="preserve"> </w:t>
            </w:r>
            <w:r>
              <w:t>de</w:t>
            </w:r>
            <w:r>
              <w:rPr>
                <w:spacing w:val="-1"/>
              </w:rPr>
              <w:t xml:space="preserve"> </w:t>
            </w:r>
            <w:r>
              <w:t>afiliación</w:t>
            </w:r>
            <w:r>
              <w:rPr>
                <w:spacing w:val="-2"/>
              </w:rPr>
              <w:t xml:space="preserve"> </w:t>
            </w:r>
            <w:r>
              <w:t>a</w:t>
            </w:r>
            <w:r>
              <w:rPr>
                <w:spacing w:val="-1"/>
              </w:rPr>
              <w:t xml:space="preserve"> </w:t>
            </w:r>
            <w:r>
              <w:t>EPS, AFP y ARL.</w:t>
            </w:r>
          </w:p>
          <w:p w14:paraId="401B1377" w14:textId="77777777" w:rsidR="00FD2D35" w:rsidRDefault="00FD2D35" w:rsidP="00025311">
            <w:pPr>
              <w:pStyle w:val="TableParagraph"/>
              <w:spacing w:before="233" w:line="252" w:lineRule="exact"/>
              <w:ind w:left="177" w:right="158"/>
              <w:jc w:val="both"/>
            </w:pPr>
            <w:r>
              <w:t>Nota: Aplicable únicamente cuando se requiere ingreso de personal externo a la entidad para el cumplimiento de contrato.</w:t>
            </w:r>
          </w:p>
        </w:tc>
        <w:tc>
          <w:tcPr>
            <w:tcW w:w="1848" w:type="dxa"/>
          </w:tcPr>
          <w:p w14:paraId="69C68F8C" w14:textId="77777777" w:rsidR="00FD2D35" w:rsidRDefault="00FD2D35" w:rsidP="00025311">
            <w:pPr>
              <w:pStyle w:val="TableParagraph"/>
              <w:jc w:val="left"/>
              <w:rPr>
                <w:rFonts w:ascii="Trebuchet MS"/>
              </w:rPr>
            </w:pPr>
          </w:p>
          <w:p w14:paraId="017DED77" w14:textId="77777777" w:rsidR="00FD2D35" w:rsidRDefault="00FD2D35" w:rsidP="00025311">
            <w:pPr>
              <w:pStyle w:val="TableParagraph"/>
              <w:jc w:val="left"/>
              <w:rPr>
                <w:rFonts w:ascii="Trebuchet MS"/>
              </w:rPr>
            </w:pPr>
          </w:p>
          <w:p w14:paraId="570BAE85" w14:textId="77777777" w:rsidR="00FD2D35" w:rsidRDefault="00FD2D35" w:rsidP="00025311">
            <w:pPr>
              <w:pStyle w:val="TableParagraph"/>
              <w:spacing w:before="114"/>
              <w:jc w:val="left"/>
              <w:rPr>
                <w:rFonts w:ascii="Trebuchet MS"/>
              </w:rPr>
            </w:pPr>
          </w:p>
          <w:p w14:paraId="7632F84F" w14:textId="77777777" w:rsidR="00FD2D35" w:rsidRDefault="00FD2D35" w:rsidP="00025311">
            <w:pPr>
              <w:pStyle w:val="TableParagraph"/>
              <w:spacing w:before="1"/>
              <w:ind w:left="12"/>
            </w:pPr>
            <w:r>
              <w:rPr>
                <w:spacing w:val="-2"/>
              </w:rPr>
              <w:t>Contractual</w:t>
            </w:r>
          </w:p>
        </w:tc>
      </w:tr>
      <w:tr w:rsidR="00FD2D35" w14:paraId="3D93C939" w14:textId="77777777" w:rsidTr="00FD2D35">
        <w:trPr>
          <w:trHeight w:val="1511"/>
        </w:trPr>
        <w:tc>
          <w:tcPr>
            <w:tcW w:w="7083" w:type="dxa"/>
          </w:tcPr>
          <w:p w14:paraId="199D2B19" w14:textId="77777777" w:rsidR="00FD2D35" w:rsidRDefault="00FD2D35" w:rsidP="00025311">
            <w:pPr>
              <w:pStyle w:val="TableParagraph"/>
              <w:ind w:left="177" w:right="155"/>
              <w:jc w:val="both"/>
            </w:pPr>
            <w:r>
              <w:t>Certificación emitida por el oferente y firmada por el representante legal en donde se manifieste que la empresa cuenta con un Plan Estratégico de Seguridad vial PESV implementado acorde con lo establecido en</w:t>
            </w:r>
            <w:r>
              <w:rPr>
                <w:spacing w:val="-2"/>
              </w:rPr>
              <w:t xml:space="preserve"> </w:t>
            </w:r>
            <w:r>
              <w:t>la</w:t>
            </w:r>
            <w:r>
              <w:rPr>
                <w:spacing w:val="-2"/>
              </w:rPr>
              <w:t xml:space="preserve"> </w:t>
            </w:r>
            <w:r>
              <w:t>resolución 40595 de</w:t>
            </w:r>
            <w:r>
              <w:rPr>
                <w:spacing w:val="-2"/>
              </w:rPr>
              <w:t xml:space="preserve"> </w:t>
            </w:r>
            <w:r>
              <w:t>2022</w:t>
            </w:r>
            <w:r>
              <w:rPr>
                <w:spacing w:val="-2"/>
              </w:rPr>
              <w:t xml:space="preserve"> </w:t>
            </w:r>
            <w:r>
              <w:t>y</w:t>
            </w:r>
            <w:r>
              <w:rPr>
                <w:spacing w:val="-2"/>
              </w:rPr>
              <w:t xml:space="preserve"> </w:t>
            </w:r>
            <w:r>
              <w:t>posteriores</w:t>
            </w:r>
            <w:r>
              <w:rPr>
                <w:spacing w:val="-2"/>
              </w:rPr>
              <w:t xml:space="preserve"> </w:t>
            </w:r>
            <w:r>
              <w:t>y</w:t>
            </w:r>
            <w:r>
              <w:rPr>
                <w:spacing w:val="-2"/>
              </w:rPr>
              <w:t xml:space="preserve"> </w:t>
            </w:r>
            <w:r>
              <w:t>en</w:t>
            </w:r>
            <w:r>
              <w:rPr>
                <w:spacing w:val="-2"/>
              </w:rPr>
              <w:t xml:space="preserve"> </w:t>
            </w:r>
            <w:r>
              <w:t>donde en</w:t>
            </w:r>
            <w:r>
              <w:rPr>
                <w:spacing w:val="7"/>
              </w:rPr>
              <w:t xml:space="preserve"> </w:t>
            </w:r>
            <w:r>
              <w:t>el</w:t>
            </w:r>
            <w:r>
              <w:rPr>
                <w:spacing w:val="9"/>
              </w:rPr>
              <w:t xml:space="preserve"> </w:t>
            </w:r>
            <w:r>
              <w:t>desarrollo</w:t>
            </w:r>
            <w:r>
              <w:rPr>
                <w:spacing w:val="11"/>
              </w:rPr>
              <w:t xml:space="preserve"> </w:t>
            </w:r>
            <w:r>
              <w:t>de</w:t>
            </w:r>
            <w:r>
              <w:rPr>
                <w:spacing w:val="9"/>
              </w:rPr>
              <w:t xml:space="preserve"> </w:t>
            </w:r>
            <w:r>
              <w:t>cualquiera</w:t>
            </w:r>
            <w:r>
              <w:rPr>
                <w:spacing w:val="11"/>
              </w:rPr>
              <w:t xml:space="preserve"> </w:t>
            </w:r>
            <w:r>
              <w:t>de</w:t>
            </w:r>
            <w:r>
              <w:rPr>
                <w:spacing w:val="9"/>
              </w:rPr>
              <w:t xml:space="preserve"> </w:t>
            </w:r>
            <w:r>
              <w:t>los</w:t>
            </w:r>
            <w:r>
              <w:rPr>
                <w:spacing w:val="11"/>
              </w:rPr>
              <w:t xml:space="preserve"> </w:t>
            </w:r>
            <w:r>
              <w:t>procesos</w:t>
            </w:r>
            <w:r>
              <w:rPr>
                <w:spacing w:val="7"/>
              </w:rPr>
              <w:t xml:space="preserve"> </w:t>
            </w:r>
            <w:r>
              <w:t>contractuales</w:t>
            </w:r>
            <w:r>
              <w:rPr>
                <w:spacing w:val="11"/>
              </w:rPr>
              <w:t xml:space="preserve"> </w:t>
            </w:r>
            <w:r>
              <w:rPr>
                <w:spacing w:val="-2"/>
              </w:rPr>
              <w:t>podrán</w:t>
            </w:r>
          </w:p>
          <w:p w14:paraId="3D8B2BB5" w14:textId="77777777" w:rsidR="00FD2D35" w:rsidRDefault="00FD2D35" w:rsidP="00025311">
            <w:pPr>
              <w:pStyle w:val="TableParagraph"/>
              <w:spacing w:line="232" w:lineRule="exact"/>
              <w:ind w:left="177"/>
              <w:jc w:val="both"/>
            </w:pPr>
            <w:r>
              <w:t>verificarse</w:t>
            </w:r>
            <w:r>
              <w:rPr>
                <w:spacing w:val="-10"/>
              </w:rPr>
              <w:t xml:space="preserve"> </w:t>
            </w:r>
            <w:r>
              <w:t>los</w:t>
            </w:r>
            <w:r>
              <w:rPr>
                <w:spacing w:val="-8"/>
              </w:rPr>
              <w:t xml:space="preserve"> </w:t>
            </w:r>
            <w:r>
              <w:t>ítems</w:t>
            </w:r>
            <w:r>
              <w:rPr>
                <w:spacing w:val="-7"/>
              </w:rPr>
              <w:t xml:space="preserve"> </w:t>
            </w:r>
            <w:r>
              <w:t>correspondientes</w:t>
            </w:r>
            <w:r>
              <w:rPr>
                <w:spacing w:val="-6"/>
              </w:rPr>
              <w:t xml:space="preserve"> </w:t>
            </w:r>
            <w:r>
              <w:t>que</w:t>
            </w:r>
            <w:r>
              <w:rPr>
                <w:spacing w:val="-8"/>
              </w:rPr>
              <w:t xml:space="preserve"> </w:t>
            </w:r>
            <w:r>
              <w:t>permitan</w:t>
            </w:r>
            <w:r>
              <w:rPr>
                <w:spacing w:val="-6"/>
              </w:rPr>
              <w:t xml:space="preserve"> </w:t>
            </w:r>
            <w:r>
              <w:t>su</w:t>
            </w:r>
            <w:r>
              <w:rPr>
                <w:spacing w:val="-5"/>
              </w:rPr>
              <w:t xml:space="preserve"> </w:t>
            </w:r>
            <w:r>
              <w:rPr>
                <w:spacing w:val="-2"/>
              </w:rPr>
              <w:t>verificación.</w:t>
            </w:r>
          </w:p>
        </w:tc>
        <w:tc>
          <w:tcPr>
            <w:tcW w:w="1848" w:type="dxa"/>
          </w:tcPr>
          <w:p w14:paraId="1F189F7D" w14:textId="77777777" w:rsidR="00FD2D35" w:rsidRDefault="00FD2D35" w:rsidP="00025311">
            <w:pPr>
              <w:pStyle w:val="TableParagraph"/>
              <w:jc w:val="left"/>
              <w:rPr>
                <w:rFonts w:ascii="Trebuchet MS"/>
              </w:rPr>
            </w:pPr>
          </w:p>
          <w:p w14:paraId="0EAB44FF" w14:textId="77777777" w:rsidR="00FD2D35" w:rsidRDefault="00FD2D35" w:rsidP="00025311">
            <w:pPr>
              <w:pStyle w:val="TableParagraph"/>
              <w:spacing w:before="117"/>
              <w:jc w:val="left"/>
              <w:rPr>
                <w:rFonts w:ascii="Trebuchet MS"/>
              </w:rPr>
            </w:pPr>
          </w:p>
          <w:p w14:paraId="5B82A228" w14:textId="77777777" w:rsidR="00FD2D35" w:rsidRDefault="00FD2D35" w:rsidP="00025311">
            <w:pPr>
              <w:pStyle w:val="TableParagraph"/>
              <w:ind w:left="12" w:right="1"/>
            </w:pPr>
            <w:r>
              <w:rPr>
                <w:spacing w:val="-2"/>
              </w:rPr>
              <w:t>Precontractual</w:t>
            </w:r>
          </w:p>
        </w:tc>
      </w:tr>
    </w:tbl>
    <w:p w14:paraId="36443525"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TableNormal0"/>
        <w:tblW w:w="893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088"/>
        <w:gridCol w:w="1844"/>
      </w:tblGrid>
      <w:tr w:rsidR="00FD2D35" w14:paraId="00680280" w14:textId="77777777" w:rsidTr="00FD2D35">
        <w:trPr>
          <w:trHeight w:val="690"/>
        </w:trPr>
        <w:tc>
          <w:tcPr>
            <w:tcW w:w="7088" w:type="dxa"/>
            <w:tcBorders>
              <w:bottom w:val="single" w:sz="4" w:space="0" w:color="000000"/>
            </w:tcBorders>
          </w:tcPr>
          <w:p w14:paraId="5AD46BA4" w14:textId="77777777" w:rsidR="00FD2D35" w:rsidRDefault="00FD2D35" w:rsidP="00025311">
            <w:pPr>
              <w:pStyle w:val="TableParagraph"/>
              <w:spacing w:before="218"/>
              <w:ind w:left="1972"/>
              <w:jc w:val="left"/>
              <w:rPr>
                <w:rFonts w:ascii="Arial" w:hAnsi="Arial"/>
                <w:b/>
              </w:rPr>
            </w:pPr>
            <w:r>
              <w:rPr>
                <w:rFonts w:ascii="Arial" w:hAnsi="Arial"/>
                <w:b/>
              </w:rPr>
              <w:t>DESCRIPCIÓN</w:t>
            </w:r>
            <w:r>
              <w:rPr>
                <w:rFonts w:ascii="Arial" w:hAnsi="Arial"/>
                <w:b/>
                <w:spacing w:val="-7"/>
              </w:rPr>
              <w:t xml:space="preserve"> </w:t>
            </w:r>
            <w:r>
              <w:rPr>
                <w:rFonts w:ascii="Arial" w:hAnsi="Arial"/>
                <w:b/>
              </w:rPr>
              <w:t>DEL</w:t>
            </w:r>
            <w:r>
              <w:rPr>
                <w:rFonts w:ascii="Arial" w:hAnsi="Arial"/>
                <w:b/>
                <w:spacing w:val="-7"/>
              </w:rPr>
              <w:t xml:space="preserve"> </w:t>
            </w:r>
            <w:r>
              <w:rPr>
                <w:rFonts w:ascii="Arial" w:hAnsi="Arial"/>
                <w:b/>
                <w:spacing w:val="-2"/>
              </w:rPr>
              <w:t>CRITERIO</w:t>
            </w:r>
          </w:p>
        </w:tc>
        <w:tc>
          <w:tcPr>
            <w:tcW w:w="1844" w:type="dxa"/>
            <w:tcBorders>
              <w:bottom w:val="single" w:sz="4" w:space="0" w:color="000000"/>
              <w:right w:val="single" w:sz="4" w:space="0" w:color="000000"/>
            </w:tcBorders>
          </w:tcPr>
          <w:p w14:paraId="22325808" w14:textId="77777777" w:rsidR="00FD2D35" w:rsidRDefault="00FD2D35" w:rsidP="00025311">
            <w:pPr>
              <w:pStyle w:val="TableParagraph"/>
              <w:spacing w:before="218"/>
              <w:ind w:left="13"/>
              <w:rPr>
                <w:rFonts w:ascii="Arial"/>
                <w:b/>
              </w:rPr>
            </w:pPr>
            <w:r>
              <w:rPr>
                <w:rFonts w:ascii="Arial"/>
                <w:b/>
                <w:spacing w:val="-2"/>
              </w:rPr>
              <w:t>ETAPA</w:t>
            </w:r>
          </w:p>
        </w:tc>
      </w:tr>
      <w:tr w:rsidR="00FD2D35" w14:paraId="166633A3" w14:textId="77777777" w:rsidTr="00FD2D35">
        <w:trPr>
          <w:trHeight w:val="683"/>
        </w:trPr>
        <w:tc>
          <w:tcPr>
            <w:tcW w:w="7088" w:type="dxa"/>
            <w:tcBorders>
              <w:top w:val="single" w:sz="4" w:space="0" w:color="000000"/>
              <w:left w:val="single" w:sz="4" w:space="0" w:color="000000"/>
              <w:bottom w:val="single" w:sz="4" w:space="0" w:color="000000"/>
              <w:right w:val="single" w:sz="4" w:space="0" w:color="000000"/>
            </w:tcBorders>
          </w:tcPr>
          <w:p w14:paraId="3134A8F1" w14:textId="77777777" w:rsidR="00FD2D35" w:rsidRDefault="00FD2D35" w:rsidP="00025311">
            <w:pPr>
              <w:pStyle w:val="TableParagraph"/>
              <w:spacing w:before="88"/>
              <w:ind w:left="74"/>
              <w:jc w:val="left"/>
              <w:rPr>
                <w:rFonts w:ascii="Arial" w:hAnsi="Arial"/>
                <w:b/>
              </w:rPr>
            </w:pPr>
            <w:r>
              <w:rPr>
                <w:rFonts w:ascii="Arial" w:hAnsi="Arial"/>
                <w:b/>
              </w:rPr>
              <w:t>Criterios</w:t>
            </w:r>
            <w:r>
              <w:rPr>
                <w:rFonts w:ascii="Arial" w:hAnsi="Arial"/>
                <w:b/>
                <w:spacing w:val="-6"/>
              </w:rPr>
              <w:t xml:space="preserve"> </w:t>
            </w:r>
            <w:r>
              <w:rPr>
                <w:rFonts w:ascii="Arial" w:hAnsi="Arial"/>
                <w:b/>
              </w:rPr>
              <w:t>para</w:t>
            </w:r>
            <w:r>
              <w:rPr>
                <w:rFonts w:ascii="Arial" w:hAnsi="Arial"/>
                <w:b/>
                <w:spacing w:val="-5"/>
              </w:rPr>
              <w:t xml:space="preserve"> </w:t>
            </w:r>
            <w:r>
              <w:rPr>
                <w:rFonts w:ascii="Arial" w:hAnsi="Arial"/>
                <w:b/>
              </w:rPr>
              <w:t>la</w:t>
            </w:r>
            <w:r>
              <w:rPr>
                <w:rFonts w:ascii="Arial" w:hAnsi="Arial"/>
                <w:b/>
                <w:spacing w:val="-5"/>
              </w:rPr>
              <w:t xml:space="preserve"> </w:t>
            </w:r>
            <w:r>
              <w:rPr>
                <w:rFonts w:ascii="Arial" w:hAnsi="Arial"/>
                <w:b/>
              </w:rPr>
              <w:t>compra</w:t>
            </w:r>
            <w:r>
              <w:rPr>
                <w:rFonts w:ascii="Arial" w:hAnsi="Arial"/>
                <w:b/>
                <w:spacing w:val="-3"/>
              </w:rPr>
              <w:t xml:space="preserve"> </w:t>
            </w:r>
            <w:r>
              <w:rPr>
                <w:rFonts w:ascii="Arial" w:hAnsi="Arial"/>
                <w:b/>
              </w:rPr>
              <w:t>de</w:t>
            </w:r>
            <w:r>
              <w:rPr>
                <w:rFonts w:ascii="Arial" w:hAnsi="Arial"/>
                <w:b/>
                <w:spacing w:val="-3"/>
              </w:rPr>
              <w:t xml:space="preserve"> </w:t>
            </w:r>
            <w:r>
              <w:rPr>
                <w:rFonts w:ascii="Arial" w:hAnsi="Arial"/>
                <w:b/>
              </w:rPr>
              <w:t>equipos</w:t>
            </w:r>
            <w:r>
              <w:rPr>
                <w:rFonts w:ascii="Arial" w:hAnsi="Arial"/>
                <w:b/>
                <w:spacing w:val="-3"/>
              </w:rPr>
              <w:t xml:space="preserve"> </w:t>
            </w:r>
            <w:r>
              <w:rPr>
                <w:rFonts w:ascii="Arial" w:hAnsi="Arial"/>
                <w:b/>
              </w:rPr>
              <w:t>de</w:t>
            </w:r>
            <w:r>
              <w:rPr>
                <w:rFonts w:ascii="Arial" w:hAnsi="Arial"/>
                <w:b/>
                <w:spacing w:val="-5"/>
              </w:rPr>
              <w:t xml:space="preserve"> </w:t>
            </w:r>
            <w:r>
              <w:rPr>
                <w:rFonts w:ascii="Arial" w:hAnsi="Arial"/>
                <w:b/>
              </w:rPr>
              <w:t>aire</w:t>
            </w:r>
            <w:r>
              <w:rPr>
                <w:rFonts w:ascii="Arial" w:hAnsi="Arial"/>
                <w:b/>
                <w:spacing w:val="-2"/>
              </w:rPr>
              <w:t xml:space="preserve"> </w:t>
            </w:r>
            <w:r>
              <w:rPr>
                <w:rFonts w:ascii="Arial" w:hAnsi="Arial"/>
                <w:b/>
              </w:rPr>
              <w:t>acondicionado</w:t>
            </w:r>
            <w:r>
              <w:rPr>
                <w:rFonts w:ascii="Arial" w:hAnsi="Arial"/>
                <w:b/>
                <w:spacing w:val="-5"/>
              </w:rPr>
              <w:t xml:space="preserve"> </w:t>
            </w:r>
            <w:r>
              <w:rPr>
                <w:rFonts w:ascii="Arial" w:hAnsi="Arial"/>
                <w:b/>
              </w:rPr>
              <w:t>y equipos de refrigeración</w:t>
            </w:r>
          </w:p>
        </w:tc>
        <w:tc>
          <w:tcPr>
            <w:tcW w:w="1844" w:type="dxa"/>
            <w:tcBorders>
              <w:top w:val="single" w:sz="4" w:space="0" w:color="000000"/>
              <w:left w:val="single" w:sz="4" w:space="0" w:color="000000"/>
              <w:bottom w:val="single" w:sz="4" w:space="0" w:color="000000"/>
              <w:right w:val="single" w:sz="4" w:space="0" w:color="000000"/>
            </w:tcBorders>
          </w:tcPr>
          <w:p w14:paraId="4C41E11F" w14:textId="77777777" w:rsidR="00FD2D35" w:rsidRDefault="00FD2D35" w:rsidP="00025311">
            <w:pPr>
              <w:pStyle w:val="TableParagraph"/>
              <w:jc w:val="left"/>
              <w:rPr>
                <w:rFonts w:ascii="Times New Roman"/>
                <w:sz w:val="20"/>
              </w:rPr>
            </w:pPr>
          </w:p>
        </w:tc>
      </w:tr>
      <w:tr w:rsidR="00FD2D35" w14:paraId="1F3AC53B" w14:textId="77777777" w:rsidTr="00FD2D35">
        <w:trPr>
          <w:trHeight w:val="757"/>
        </w:trPr>
        <w:tc>
          <w:tcPr>
            <w:tcW w:w="7088" w:type="dxa"/>
            <w:tcBorders>
              <w:top w:val="single" w:sz="4" w:space="0" w:color="000000"/>
              <w:left w:val="single" w:sz="4" w:space="0" w:color="000000"/>
              <w:bottom w:val="single" w:sz="4" w:space="0" w:color="000000"/>
              <w:right w:val="single" w:sz="4" w:space="0" w:color="000000"/>
            </w:tcBorders>
          </w:tcPr>
          <w:p w14:paraId="69D7B1BB" w14:textId="77777777" w:rsidR="00FD2D35" w:rsidRDefault="00FD2D35" w:rsidP="00025311">
            <w:pPr>
              <w:pStyle w:val="TableParagraph"/>
              <w:ind w:left="74"/>
              <w:jc w:val="left"/>
            </w:pPr>
            <w:r>
              <w:t>Se prohíben los equipos y sistemas para la refrigeración y/o requieran para</w:t>
            </w:r>
            <w:r>
              <w:rPr>
                <w:spacing w:val="9"/>
              </w:rPr>
              <w:t xml:space="preserve"> </w:t>
            </w:r>
            <w:r>
              <w:t>su</w:t>
            </w:r>
            <w:r>
              <w:rPr>
                <w:spacing w:val="12"/>
              </w:rPr>
              <w:t xml:space="preserve"> </w:t>
            </w:r>
            <w:r>
              <w:t>operación</w:t>
            </w:r>
            <w:r>
              <w:rPr>
                <w:spacing w:val="11"/>
              </w:rPr>
              <w:t xml:space="preserve"> </w:t>
            </w:r>
            <w:r>
              <w:t>o</w:t>
            </w:r>
            <w:r>
              <w:rPr>
                <w:spacing w:val="12"/>
              </w:rPr>
              <w:t xml:space="preserve"> </w:t>
            </w:r>
            <w:r>
              <w:t>funcionamiento</w:t>
            </w:r>
            <w:r>
              <w:rPr>
                <w:spacing w:val="12"/>
              </w:rPr>
              <w:t xml:space="preserve"> </w:t>
            </w:r>
            <w:r>
              <w:t>las</w:t>
            </w:r>
            <w:r>
              <w:rPr>
                <w:spacing w:val="12"/>
              </w:rPr>
              <w:t xml:space="preserve"> </w:t>
            </w:r>
            <w:r>
              <w:t>sustancias</w:t>
            </w:r>
            <w:r>
              <w:rPr>
                <w:spacing w:val="11"/>
              </w:rPr>
              <w:t xml:space="preserve"> </w:t>
            </w:r>
            <w:r>
              <w:t>controladas</w:t>
            </w:r>
            <w:r>
              <w:rPr>
                <w:spacing w:val="12"/>
              </w:rPr>
              <w:t xml:space="preserve"> </w:t>
            </w:r>
            <w:r>
              <w:t>en</w:t>
            </w:r>
            <w:r>
              <w:rPr>
                <w:spacing w:val="9"/>
              </w:rPr>
              <w:t xml:space="preserve"> </w:t>
            </w:r>
            <w:r>
              <w:rPr>
                <w:spacing w:val="-5"/>
              </w:rPr>
              <w:t>los</w:t>
            </w:r>
          </w:p>
          <w:p w14:paraId="12CA31A5" w14:textId="77777777" w:rsidR="00FD2D35" w:rsidRDefault="00FD2D35" w:rsidP="00025311">
            <w:pPr>
              <w:pStyle w:val="TableParagraph"/>
              <w:spacing w:line="232" w:lineRule="exact"/>
              <w:ind w:left="74"/>
              <w:jc w:val="left"/>
            </w:pPr>
            <w:r>
              <w:t>Guías</w:t>
            </w:r>
            <w:r>
              <w:rPr>
                <w:spacing w:val="-5"/>
              </w:rPr>
              <w:t xml:space="preserve"> </w:t>
            </w:r>
            <w:r>
              <w:t>A,</w:t>
            </w:r>
            <w:r>
              <w:rPr>
                <w:spacing w:val="-3"/>
              </w:rPr>
              <w:t xml:space="preserve"> </w:t>
            </w:r>
            <w:r>
              <w:t>B,</w:t>
            </w:r>
            <w:r>
              <w:rPr>
                <w:spacing w:val="-3"/>
              </w:rPr>
              <w:t xml:space="preserve"> </w:t>
            </w:r>
            <w:r>
              <w:t>C</w:t>
            </w:r>
            <w:r>
              <w:rPr>
                <w:spacing w:val="-2"/>
              </w:rPr>
              <w:t xml:space="preserve"> </w:t>
            </w:r>
            <w:r>
              <w:t>del</w:t>
            </w:r>
            <w:r>
              <w:rPr>
                <w:spacing w:val="-2"/>
              </w:rPr>
              <w:t xml:space="preserve"> </w:t>
            </w:r>
            <w:r>
              <w:t>Protocolo</w:t>
            </w:r>
            <w:r>
              <w:rPr>
                <w:spacing w:val="-2"/>
              </w:rPr>
              <w:t xml:space="preserve"> </w:t>
            </w:r>
            <w:r>
              <w:t>de</w:t>
            </w:r>
            <w:r>
              <w:rPr>
                <w:spacing w:val="-2"/>
              </w:rPr>
              <w:t xml:space="preserve"> Montreal.</w:t>
            </w:r>
          </w:p>
        </w:tc>
        <w:tc>
          <w:tcPr>
            <w:tcW w:w="1844" w:type="dxa"/>
            <w:tcBorders>
              <w:top w:val="single" w:sz="4" w:space="0" w:color="000000"/>
              <w:left w:val="single" w:sz="4" w:space="0" w:color="000000"/>
              <w:bottom w:val="single" w:sz="4" w:space="0" w:color="000000"/>
              <w:right w:val="single" w:sz="4" w:space="0" w:color="000000"/>
            </w:tcBorders>
          </w:tcPr>
          <w:p w14:paraId="71DF5131" w14:textId="77777777" w:rsidR="00FD2D35" w:rsidRDefault="00FD2D35" w:rsidP="00025311">
            <w:pPr>
              <w:pStyle w:val="TableParagraph"/>
              <w:jc w:val="left"/>
              <w:rPr>
                <w:rFonts w:ascii="Times New Roman"/>
                <w:sz w:val="20"/>
              </w:rPr>
            </w:pPr>
          </w:p>
        </w:tc>
      </w:tr>
      <w:tr w:rsidR="00FD2D35" w14:paraId="2E80A103" w14:textId="77777777" w:rsidTr="00FD2D35">
        <w:trPr>
          <w:trHeight w:val="906"/>
        </w:trPr>
        <w:tc>
          <w:tcPr>
            <w:tcW w:w="7088" w:type="dxa"/>
            <w:tcBorders>
              <w:top w:val="single" w:sz="4" w:space="0" w:color="000000"/>
              <w:bottom w:val="single" w:sz="4" w:space="0" w:color="000000"/>
              <w:right w:val="single" w:sz="4" w:space="0" w:color="000000"/>
            </w:tcBorders>
          </w:tcPr>
          <w:p w14:paraId="2CAD28CC" w14:textId="77777777" w:rsidR="00FD2D35" w:rsidRDefault="00FD2D35" w:rsidP="00025311">
            <w:pPr>
              <w:pStyle w:val="TableParagraph"/>
              <w:spacing w:before="74"/>
              <w:ind w:left="69" w:right="50"/>
              <w:jc w:val="both"/>
            </w:pPr>
            <w:r>
              <w:lastRenderedPageBreak/>
              <w:t>Certificar que, aceptará la devolución sin costo alguno de un Aparato Eléctrico Electrónico - AEE de tipo equivalente que haya realizado las mismas</w:t>
            </w:r>
            <w:r>
              <w:rPr>
                <w:spacing w:val="53"/>
              </w:rPr>
              <w:t xml:space="preserve">   </w:t>
            </w:r>
            <w:r>
              <w:t>funciones</w:t>
            </w:r>
            <w:r>
              <w:rPr>
                <w:spacing w:val="53"/>
              </w:rPr>
              <w:t xml:space="preserve">   </w:t>
            </w:r>
            <w:r>
              <w:t>que</w:t>
            </w:r>
            <w:r>
              <w:rPr>
                <w:spacing w:val="54"/>
              </w:rPr>
              <w:t xml:space="preserve">   </w:t>
            </w:r>
            <w:r>
              <w:t>el</w:t>
            </w:r>
            <w:r>
              <w:rPr>
                <w:spacing w:val="54"/>
              </w:rPr>
              <w:t xml:space="preserve">   </w:t>
            </w:r>
            <w:r>
              <w:t>aparato</w:t>
            </w:r>
            <w:r>
              <w:rPr>
                <w:spacing w:val="54"/>
              </w:rPr>
              <w:t xml:space="preserve">   </w:t>
            </w:r>
            <w:r>
              <w:t>que</w:t>
            </w:r>
            <w:r>
              <w:rPr>
                <w:spacing w:val="54"/>
              </w:rPr>
              <w:t xml:space="preserve">   </w:t>
            </w:r>
            <w:r>
              <w:t>se</w:t>
            </w:r>
            <w:r>
              <w:rPr>
                <w:spacing w:val="54"/>
              </w:rPr>
              <w:t xml:space="preserve">   </w:t>
            </w:r>
            <w:r>
              <w:rPr>
                <w:spacing w:val="-2"/>
              </w:rPr>
              <w:t>adquiere.</w:t>
            </w:r>
          </w:p>
        </w:tc>
        <w:tc>
          <w:tcPr>
            <w:tcW w:w="1844" w:type="dxa"/>
            <w:tcBorders>
              <w:top w:val="single" w:sz="4" w:space="0" w:color="000000"/>
              <w:left w:val="single" w:sz="4" w:space="0" w:color="000000"/>
              <w:bottom w:val="single" w:sz="4" w:space="0" w:color="000000"/>
              <w:right w:val="single" w:sz="4" w:space="0" w:color="000000"/>
            </w:tcBorders>
          </w:tcPr>
          <w:p w14:paraId="0A02F513" w14:textId="77777777" w:rsidR="00FD2D35" w:rsidRDefault="00FD2D35" w:rsidP="00025311">
            <w:pPr>
              <w:pStyle w:val="TableParagraph"/>
              <w:jc w:val="left"/>
              <w:rPr>
                <w:rFonts w:ascii="Times New Roman"/>
                <w:sz w:val="20"/>
              </w:rPr>
            </w:pPr>
          </w:p>
        </w:tc>
      </w:tr>
      <w:tr w:rsidR="00FD2D35" w14:paraId="52DEF28A" w14:textId="77777777" w:rsidTr="00FD2D35">
        <w:trPr>
          <w:trHeight w:val="2784"/>
        </w:trPr>
        <w:tc>
          <w:tcPr>
            <w:tcW w:w="7088" w:type="dxa"/>
            <w:tcBorders>
              <w:top w:val="single" w:sz="4" w:space="0" w:color="000000"/>
              <w:bottom w:val="single" w:sz="4" w:space="0" w:color="000000"/>
              <w:right w:val="single" w:sz="4" w:space="0" w:color="000000"/>
            </w:tcBorders>
          </w:tcPr>
          <w:p w14:paraId="17ADB208" w14:textId="77777777" w:rsidR="00FD2D35" w:rsidRDefault="00FD2D35" w:rsidP="00025311">
            <w:pPr>
              <w:pStyle w:val="TableParagraph"/>
              <w:ind w:left="69" w:right="49"/>
              <w:jc w:val="both"/>
            </w:pPr>
            <w:r>
              <w:t>Evaluar</w:t>
            </w:r>
            <w:r>
              <w:rPr>
                <w:spacing w:val="-16"/>
              </w:rPr>
              <w:t xml:space="preserve"> </w:t>
            </w:r>
            <w:r>
              <w:t>e</w:t>
            </w:r>
            <w:r>
              <w:rPr>
                <w:spacing w:val="-15"/>
              </w:rPr>
              <w:t xml:space="preserve"> </w:t>
            </w:r>
            <w:r>
              <w:t>informar</w:t>
            </w:r>
            <w:r>
              <w:rPr>
                <w:spacing w:val="-15"/>
              </w:rPr>
              <w:t xml:space="preserve"> </w:t>
            </w:r>
            <w:r>
              <w:t>a</w:t>
            </w:r>
            <w:r>
              <w:rPr>
                <w:spacing w:val="-16"/>
              </w:rPr>
              <w:t xml:space="preserve"> </w:t>
            </w:r>
            <w:r>
              <w:t>los</w:t>
            </w:r>
            <w:r>
              <w:rPr>
                <w:spacing w:val="-15"/>
              </w:rPr>
              <w:t xml:space="preserve"> </w:t>
            </w:r>
            <w:r>
              <w:t>proveedores</w:t>
            </w:r>
            <w:r>
              <w:rPr>
                <w:spacing w:val="-15"/>
              </w:rPr>
              <w:t xml:space="preserve"> </w:t>
            </w:r>
            <w:r>
              <w:t>sobre</w:t>
            </w:r>
            <w:r>
              <w:rPr>
                <w:spacing w:val="-15"/>
              </w:rPr>
              <w:t xml:space="preserve"> </w:t>
            </w:r>
            <w:r>
              <w:t>la</w:t>
            </w:r>
            <w:r>
              <w:rPr>
                <w:spacing w:val="-16"/>
              </w:rPr>
              <w:t xml:space="preserve"> </w:t>
            </w:r>
            <w:r>
              <w:t>preferencia</w:t>
            </w:r>
            <w:r>
              <w:rPr>
                <w:spacing w:val="-15"/>
              </w:rPr>
              <w:t xml:space="preserve"> </w:t>
            </w:r>
            <w:r>
              <w:t>de</w:t>
            </w:r>
            <w:r>
              <w:rPr>
                <w:spacing w:val="-15"/>
              </w:rPr>
              <w:t xml:space="preserve"> </w:t>
            </w:r>
            <w:r>
              <w:t>adquisición de equipos de uso final</w:t>
            </w:r>
            <w:r>
              <w:rPr>
                <w:spacing w:val="-1"/>
              </w:rPr>
              <w:t xml:space="preserve"> </w:t>
            </w:r>
            <w:r>
              <w:t>de energía</w:t>
            </w:r>
            <w:r>
              <w:rPr>
                <w:spacing w:val="-1"/>
              </w:rPr>
              <w:t xml:space="preserve"> </w:t>
            </w:r>
            <w:r>
              <w:t>que</w:t>
            </w:r>
            <w:r>
              <w:rPr>
                <w:spacing w:val="-1"/>
              </w:rPr>
              <w:t xml:space="preserve"> </w:t>
            </w:r>
            <w:r>
              <w:t>tengan</w:t>
            </w:r>
            <w:r>
              <w:rPr>
                <w:spacing w:val="-1"/>
              </w:rPr>
              <w:t xml:space="preserve"> </w:t>
            </w:r>
            <w:r>
              <w:t>la etiqueta de</w:t>
            </w:r>
            <w:r>
              <w:rPr>
                <w:spacing w:val="-1"/>
              </w:rPr>
              <w:t xml:space="preserve"> </w:t>
            </w:r>
            <w:r>
              <w:t>eficiencia energética,</w:t>
            </w:r>
            <w:r>
              <w:rPr>
                <w:spacing w:val="40"/>
              </w:rPr>
              <w:t xml:space="preserve"> </w:t>
            </w:r>
            <w:r>
              <w:t>o</w:t>
            </w:r>
            <w:r>
              <w:rPr>
                <w:spacing w:val="-4"/>
              </w:rPr>
              <w:t xml:space="preserve"> </w:t>
            </w:r>
            <w:r>
              <w:t>su</w:t>
            </w:r>
            <w:r>
              <w:rPr>
                <w:spacing w:val="-4"/>
              </w:rPr>
              <w:t xml:space="preserve"> </w:t>
            </w:r>
            <w:r>
              <w:t>equivalente,</w:t>
            </w:r>
            <w:r>
              <w:rPr>
                <w:spacing w:val="-3"/>
              </w:rPr>
              <w:t xml:space="preserve"> </w:t>
            </w:r>
            <w:r>
              <w:t>tipo</w:t>
            </w:r>
            <w:r>
              <w:rPr>
                <w:spacing w:val="-4"/>
              </w:rPr>
              <w:t xml:space="preserve"> </w:t>
            </w:r>
            <w:r>
              <w:t>A</w:t>
            </w:r>
            <w:r>
              <w:rPr>
                <w:spacing w:val="-5"/>
              </w:rPr>
              <w:t xml:space="preserve"> </w:t>
            </w:r>
            <w:r>
              <w:t>o</w:t>
            </w:r>
            <w:r>
              <w:rPr>
                <w:spacing w:val="-4"/>
              </w:rPr>
              <w:t xml:space="preserve"> </w:t>
            </w:r>
            <w:r>
              <w:t>B,</w:t>
            </w:r>
            <w:r>
              <w:rPr>
                <w:spacing w:val="-3"/>
              </w:rPr>
              <w:t xml:space="preserve"> </w:t>
            </w:r>
            <w:r>
              <w:t>con</w:t>
            </w:r>
            <w:r>
              <w:rPr>
                <w:spacing w:val="-4"/>
              </w:rPr>
              <w:t xml:space="preserve"> </w:t>
            </w:r>
            <w:r>
              <w:t>el</w:t>
            </w:r>
            <w:r>
              <w:rPr>
                <w:spacing w:val="-5"/>
              </w:rPr>
              <w:t xml:space="preserve"> </w:t>
            </w:r>
            <w:r>
              <w:t>fin</w:t>
            </w:r>
            <w:r>
              <w:rPr>
                <w:spacing w:val="-2"/>
              </w:rPr>
              <w:t xml:space="preserve"> </w:t>
            </w:r>
            <w:r>
              <w:t>de</w:t>
            </w:r>
            <w:r>
              <w:rPr>
                <w:spacing w:val="-4"/>
              </w:rPr>
              <w:t xml:space="preserve"> </w:t>
            </w:r>
            <w:r>
              <w:t>que</w:t>
            </w:r>
            <w:r>
              <w:rPr>
                <w:spacing w:val="-4"/>
              </w:rPr>
              <w:t xml:space="preserve"> </w:t>
            </w:r>
            <w:r>
              <w:t>se</w:t>
            </w:r>
            <w:r>
              <w:rPr>
                <w:spacing w:val="-4"/>
              </w:rPr>
              <w:t xml:space="preserve"> </w:t>
            </w:r>
            <w:r>
              <w:t>encuentre dentro del rango de menor consumo de energía eléctrica, debe contar con</w:t>
            </w:r>
            <w:r>
              <w:rPr>
                <w:spacing w:val="62"/>
              </w:rPr>
              <w:t xml:space="preserve">   </w:t>
            </w:r>
            <w:r>
              <w:t>sistema</w:t>
            </w:r>
            <w:r>
              <w:rPr>
                <w:spacing w:val="62"/>
              </w:rPr>
              <w:t xml:space="preserve">   </w:t>
            </w:r>
            <w:r>
              <w:t>temporizador</w:t>
            </w:r>
            <w:r>
              <w:rPr>
                <w:spacing w:val="62"/>
              </w:rPr>
              <w:t xml:space="preserve">   </w:t>
            </w:r>
            <w:r>
              <w:t>de</w:t>
            </w:r>
            <w:r>
              <w:rPr>
                <w:spacing w:val="63"/>
              </w:rPr>
              <w:t xml:space="preserve">   </w:t>
            </w:r>
            <w:r>
              <w:t>encendido</w:t>
            </w:r>
            <w:r>
              <w:rPr>
                <w:spacing w:val="62"/>
              </w:rPr>
              <w:t xml:space="preserve">   </w:t>
            </w:r>
            <w:r>
              <w:t>y</w:t>
            </w:r>
            <w:r>
              <w:rPr>
                <w:spacing w:val="63"/>
              </w:rPr>
              <w:t xml:space="preserve">   </w:t>
            </w:r>
            <w:r>
              <w:rPr>
                <w:spacing w:val="-2"/>
              </w:rPr>
              <w:t>apagado:</w:t>
            </w:r>
          </w:p>
          <w:p w14:paraId="7D938A62" w14:textId="77777777" w:rsidR="00FD2D35" w:rsidRDefault="00FD2D35" w:rsidP="00FD2D35">
            <w:pPr>
              <w:pStyle w:val="TableParagraph"/>
              <w:numPr>
                <w:ilvl w:val="0"/>
                <w:numId w:val="46"/>
              </w:numPr>
              <w:tabs>
                <w:tab w:val="left" w:pos="243"/>
                <w:tab w:val="left" w:pos="2461"/>
                <w:tab w:val="left" w:pos="4648"/>
                <w:tab w:val="left" w:pos="6811"/>
              </w:tabs>
              <w:ind w:right="51"/>
              <w:jc w:val="both"/>
            </w:pPr>
            <w:r>
              <w:t xml:space="preserve">RETIQ tipo A, B, C o D, sin embargo, en el proceso de compra se preferirá adquirir los de los proveedores que ofrezcan los de etiqueta </w:t>
            </w:r>
            <w:r>
              <w:rPr>
                <w:spacing w:val="-4"/>
              </w:rPr>
              <w:t>tipo</w:t>
            </w:r>
            <w:r>
              <w:tab/>
            </w:r>
            <w:r>
              <w:rPr>
                <w:spacing w:val="-10"/>
              </w:rPr>
              <w:t>A</w:t>
            </w:r>
            <w:r>
              <w:tab/>
            </w:r>
            <w:r>
              <w:rPr>
                <w:spacing w:val="-10"/>
              </w:rPr>
              <w:t>o</w:t>
            </w:r>
            <w:r>
              <w:tab/>
            </w:r>
            <w:r>
              <w:rPr>
                <w:spacing w:val="-5"/>
              </w:rPr>
              <w:t>B.</w:t>
            </w:r>
          </w:p>
          <w:p w14:paraId="2030DB9F" w14:textId="77777777" w:rsidR="00FD2D35" w:rsidRDefault="00FD2D35" w:rsidP="00FD2D35">
            <w:pPr>
              <w:pStyle w:val="TableParagraph"/>
              <w:numPr>
                <w:ilvl w:val="0"/>
                <w:numId w:val="46"/>
              </w:numPr>
              <w:tabs>
                <w:tab w:val="left" w:pos="210"/>
              </w:tabs>
              <w:ind w:right="52"/>
              <w:jc w:val="both"/>
            </w:pPr>
            <w:r>
              <w:t>EU</w:t>
            </w:r>
            <w:r>
              <w:rPr>
                <w:spacing w:val="-12"/>
              </w:rPr>
              <w:t xml:space="preserve"> </w:t>
            </w:r>
            <w:r>
              <w:t>tipo</w:t>
            </w:r>
            <w:r>
              <w:rPr>
                <w:spacing w:val="-12"/>
              </w:rPr>
              <w:t xml:space="preserve"> </w:t>
            </w:r>
            <w:r>
              <w:t>A,</w:t>
            </w:r>
            <w:r>
              <w:rPr>
                <w:spacing w:val="-10"/>
              </w:rPr>
              <w:t xml:space="preserve"> </w:t>
            </w:r>
            <w:r>
              <w:t>B,</w:t>
            </w:r>
            <w:r>
              <w:rPr>
                <w:spacing w:val="-10"/>
              </w:rPr>
              <w:t xml:space="preserve"> </w:t>
            </w:r>
            <w:r>
              <w:t>C</w:t>
            </w:r>
            <w:r>
              <w:rPr>
                <w:spacing w:val="-12"/>
              </w:rPr>
              <w:t xml:space="preserve"> </w:t>
            </w:r>
            <w:r>
              <w:t>o</w:t>
            </w:r>
            <w:r>
              <w:rPr>
                <w:spacing w:val="-11"/>
              </w:rPr>
              <w:t xml:space="preserve"> </w:t>
            </w:r>
            <w:r>
              <w:t>D,</w:t>
            </w:r>
            <w:r>
              <w:rPr>
                <w:spacing w:val="-10"/>
              </w:rPr>
              <w:t xml:space="preserve"> </w:t>
            </w:r>
            <w:r>
              <w:t>sin</w:t>
            </w:r>
            <w:r>
              <w:rPr>
                <w:spacing w:val="-13"/>
              </w:rPr>
              <w:t xml:space="preserve"> </w:t>
            </w:r>
            <w:r>
              <w:t>embargo,</w:t>
            </w:r>
            <w:r>
              <w:rPr>
                <w:spacing w:val="-10"/>
              </w:rPr>
              <w:t xml:space="preserve"> </w:t>
            </w:r>
            <w:r>
              <w:t>en</w:t>
            </w:r>
            <w:r>
              <w:rPr>
                <w:spacing w:val="-12"/>
              </w:rPr>
              <w:t xml:space="preserve"> </w:t>
            </w:r>
            <w:r>
              <w:t>el</w:t>
            </w:r>
            <w:r>
              <w:rPr>
                <w:spacing w:val="-10"/>
              </w:rPr>
              <w:t xml:space="preserve"> </w:t>
            </w:r>
            <w:r>
              <w:t>proceso</w:t>
            </w:r>
            <w:r>
              <w:rPr>
                <w:spacing w:val="-14"/>
              </w:rPr>
              <w:t xml:space="preserve"> </w:t>
            </w:r>
            <w:r>
              <w:t>de</w:t>
            </w:r>
            <w:r>
              <w:rPr>
                <w:spacing w:val="-9"/>
              </w:rPr>
              <w:t xml:space="preserve"> </w:t>
            </w:r>
            <w:r>
              <w:t>compra</w:t>
            </w:r>
            <w:r>
              <w:rPr>
                <w:spacing w:val="-11"/>
              </w:rPr>
              <w:t xml:space="preserve"> </w:t>
            </w:r>
            <w:r>
              <w:t>se</w:t>
            </w:r>
            <w:r>
              <w:rPr>
                <w:spacing w:val="-11"/>
              </w:rPr>
              <w:t xml:space="preserve"> </w:t>
            </w:r>
            <w:r>
              <w:t>preferirá adquirir los</w:t>
            </w:r>
            <w:r>
              <w:rPr>
                <w:spacing w:val="-1"/>
              </w:rPr>
              <w:t xml:space="preserve"> </w:t>
            </w:r>
            <w:r>
              <w:t>de</w:t>
            </w:r>
            <w:r>
              <w:rPr>
                <w:spacing w:val="-1"/>
              </w:rPr>
              <w:t xml:space="preserve"> </w:t>
            </w:r>
            <w:r>
              <w:t>los</w:t>
            </w:r>
            <w:r>
              <w:rPr>
                <w:spacing w:val="-1"/>
              </w:rPr>
              <w:t xml:space="preserve"> </w:t>
            </w:r>
            <w:r>
              <w:t>proveedores que</w:t>
            </w:r>
            <w:r>
              <w:rPr>
                <w:spacing w:val="-1"/>
              </w:rPr>
              <w:t xml:space="preserve"> </w:t>
            </w:r>
            <w:r>
              <w:t>ofrezcan</w:t>
            </w:r>
            <w:r>
              <w:rPr>
                <w:spacing w:val="-1"/>
              </w:rPr>
              <w:t xml:space="preserve"> </w:t>
            </w:r>
            <w:r>
              <w:t>los</w:t>
            </w:r>
            <w:r>
              <w:rPr>
                <w:spacing w:val="-4"/>
              </w:rPr>
              <w:t xml:space="preserve"> </w:t>
            </w:r>
            <w:r>
              <w:t>de etiqueta</w:t>
            </w:r>
            <w:r>
              <w:rPr>
                <w:spacing w:val="-4"/>
              </w:rPr>
              <w:t xml:space="preserve"> </w:t>
            </w:r>
            <w:r>
              <w:t>tipo</w:t>
            </w:r>
            <w:r>
              <w:rPr>
                <w:spacing w:val="-1"/>
              </w:rPr>
              <w:t xml:space="preserve"> </w:t>
            </w:r>
            <w:r>
              <w:t>A</w:t>
            </w:r>
            <w:r>
              <w:rPr>
                <w:spacing w:val="-2"/>
              </w:rPr>
              <w:t xml:space="preserve"> </w:t>
            </w:r>
            <w:r>
              <w:t xml:space="preserve">o </w:t>
            </w:r>
            <w:r>
              <w:rPr>
                <w:spacing w:val="-5"/>
              </w:rPr>
              <w:t>B.</w:t>
            </w:r>
          </w:p>
          <w:p w14:paraId="7BF2F494" w14:textId="77777777" w:rsidR="00FD2D35" w:rsidRPr="00FD2D35" w:rsidRDefault="00FD2D35" w:rsidP="00FD2D35">
            <w:pPr>
              <w:pStyle w:val="TableParagraph"/>
              <w:numPr>
                <w:ilvl w:val="0"/>
                <w:numId w:val="46"/>
              </w:numPr>
              <w:tabs>
                <w:tab w:val="left" w:pos="1285"/>
                <w:tab w:val="left" w:pos="3109"/>
                <w:tab w:val="left" w:pos="4640"/>
                <w:tab w:val="left" w:pos="5890"/>
              </w:tabs>
              <w:spacing w:line="234" w:lineRule="exact"/>
              <w:jc w:val="both"/>
            </w:pPr>
            <w:r>
              <w:rPr>
                <w:spacing w:val="-2"/>
              </w:rPr>
              <w:t>Energy</w:t>
            </w:r>
            <w:r>
              <w:tab/>
            </w:r>
            <w:r>
              <w:rPr>
                <w:spacing w:val="-4"/>
              </w:rPr>
              <w:t>Star</w:t>
            </w:r>
            <w:r>
              <w:tab/>
            </w:r>
            <w:r>
              <w:rPr>
                <w:spacing w:val="-10"/>
              </w:rPr>
              <w:t>o</w:t>
            </w:r>
            <w:r>
              <w:tab/>
            </w:r>
            <w:r>
              <w:rPr>
                <w:spacing w:val="-2"/>
              </w:rPr>
              <w:t>equivalente</w:t>
            </w:r>
          </w:p>
          <w:p w14:paraId="329DDABC" w14:textId="00AE493F" w:rsidR="00FD2D35" w:rsidRPr="00FD2D35" w:rsidRDefault="00FD2D35" w:rsidP="00FD2D35">
            <w:pPr>
              <w:pStyle w:val="TableParagraph"/>
              <w:numPr>
                <w:ilvl w:val="0"/>
                <w:numId w:val="48"/>
              </w:numPr>
              <w:tabs>
                <w:tab w:val="left" w:pos="382"/>
              </w:tabs>
              <w:spacing w:line="252" w:lineRule="exact"/>
              <w:jc w:val="left"/>
            </w:pPr>
            <w:r>
              <w:t>Tiempo</w:t>
            </w:r>
            <w:r>
              <w:rPr>
                <w:spacing w:val="50"/>
              </w:rPr>
              <w:t xml:space="preserve"> </w:t>
            </w:r>
            <w:r>
              <w:t>de</w:t>
            </w:r>
            <w:r>
              <w:rPr>
                <w:spacing w:val="50"/>
              </w:rPr>
              <w:t xml:space="preserve"> </w:t>
            </w:r>
            <w:r>
              <w:t>Garantía,</w:t>
            </w:r>
            <w:r>
              <w:rPr>
                <w:spacing w:val="51"/>
              </w:rPr>
              <w:t xml:space="preserve"> </w:t>
            </w:r>
            <w:r>
              <w:t>4</w:t>
            </w:r>
            <w:r>
              <w:rPr>
                <w:spacing w:val="52"/>
              </w:rPr>
              <w:t xml:space="preserve"> </w:t>
            </w:r>
            <w:r>
              <w:t>años</w:t>
            </w:r>
            <w:r>
              <w:rPr>
                <w:spacing w:val="50"/>
              </w:rPr>
              <w:t xml:space="preserve"> </w:t>
            </w:r>
            <w:r>
              <w:t>a</w:t>
            </w:r>
            <w:r>
              <w:rPr>
                <w:spacing w:val="52"/>
              </w:rPr>
              <w:t xml:space="preserve"> </w:t>
            </w:r>
            <w:r>
              <w:t>partir</w:t>
            </w:r>
            <w:r>
              <w:rPr>
                <w:spacing w:val="53"/>
              </w:rPr>
              <w:t xml:space="preserve"> </w:t>
            </w:r>
            <w:r>
              <w:t>de</w:t>
            </w:r>
            <w:r>
              <w:rPr>
                <w:spacing w:val="50"/>
              </w:rPr>
              <w:t xml:space="preserve"> </w:t>
            </w:r>
            <w:r>
              <w:t>la</w:t>
            </w:r>
            <w:r>
              <w:rPr>
                <w:spacing w:val="50"/>
              </w:rPr>
              <w:t xml:space="preserve"> </w:t>
            </w:r>
            <w:r>
              <w:t>fecha</w:t>
            </w:r>
            <w:r>
              <w:rPr>
                <w:spacing w:val="52"/>
              </w:rPr>
              <w:t xml:space="preserve"> </w:t>
            </w:r>
            <w:r>
              <w:t>de</w:t>
            </w:r>
            <w:r>
              <w:rPr>
                <w:spacing w:val="51"/>
              </w:rPr>
              <w:t xml:space="preserve"> </w:t>
            </w:r>
            <w:r>
              <w:rPr>
                <w:spacing w:val="-2"/>
              </w:rPr>
              <w:t>instalación.</w:t>
            </w:r>
          </w:p>
          <w:p w14:paraId="15E9A5D5" w14:textId="77777777" w:rsidR="00FD2D35" w:rsidRPr="00FD2D35" w:rsidRDefault="00FD2D35" w:rsidP="00FD2D35">
            <w:pPr>
              <w:pStyle w:val="TableParagraph"/>
              <w:numPr>
                <w:ilvl w:val="0"/>
                <w:numId w:val="48"/>
              </w:numPr>
              <w:tabs>
                <w:tab w:val="left" w:pos="382"/>
              </w:tabs>
              <w:spacing w:line="252" w:lineRule="exact"/>
              <w:jc w:val="left"/>
            </w:pPr>
            <w:r>
              <w:rPr>
                <w:spacing w:val="-2"/>
              </w:rPr>
              <w:t>Porcentaje</w:t>
            </w:r>
            <w:r>
              <w:tab/>
            </w:r>
            <w:r>
              <w:rPr>
                <w:spacing w:val="-5"/>
              </w:rPr>
              <w:t>de</w:t>
            </w:r>
            <w:r>
              <w:tab/>
            </w:r>
            <w:r>
              <w:rPr>
                <w:spacing w:val="-2"/>
              </w:rPr>
              <w:t>ahorro</w:t>
            </w:r>
            <w:r>
              <w:tab/>
            </w:r>
            <w:r>
              <w:rPr>
                <w:spacing w:val="-5"/>
              </w:rPr>
              <w:t>de</w:t>
            </w:r>
            <w:r>
              <w:tab/>
            </w:r>
            <w:r>
              <w:rPr>
                <w:spacing w:val="-2"/>
              </w:rPr>
              <w:t>energía</w:t>
            </w:r>
            <w:r>
              <w:tab/>
            </w:r>
            <w:r>
              <w:rPr>
                <w:spacing w:val="-2"/>
              </w:rPr>
              <w:t>mayor</w:t>
            </w:r>
            <w:r>
              <w:tab/>
            </w:r>
            <w:r>
              <w:rPr>
                <w:spacing w:val="-2"/>
              </w:rPr>
              <w:t>igual</w:t>
            </w:r>
            <w:r>
              <w:tab/>
            </w:r>
            <w:r>
              <w:rPr>
                <w:spacing w:val="-5"/>
              </w:rPr>
              <w:t>al</w:t>
            </w:r>
            <w:r>
              <w:tab/>
            </w:r>
            <w:r>
              <w:rPr>
                <w:spacing w:val="-4"/>
              </w:rPr>
              <w:t>70%.</w:t>
            </w:r>
          </w:p>
          <w:p w14:paraId="0D662CB8" w14:textId="6C47E61E" w:rsidR="00FD2D35" w:rsidRDefault="00FD2D35" w:rsidP="00FD2D35">
            <w:pPr>
              <w:pStyle w:val="TableParagraph"/>
              <w:numPr>
                <w:ilvl w:val="0"/>
                <w:numId w:val="48"/>
              </w:numPr>
              <w:tabs>
                <w:tab w:val="left" w:pos="382"/>
              </w:tabs>
              <w:spacing w:line="252" w:lineRule="exact"/>
              <w:jc w:val="left"/>
            </w:pPr>
            <w:r>
              <w:t xml:space="preserve">Tipo de Refrigerante: R410A o equivalente: Ecológico, Ley 29 del 28 </w:t>
            </w:r>
            <w:r>
              <w:rPr>
                <w:spacing w:val="-6"/>
              </w:rPr>
              <w:t>de</w:t>
            </w:r>
            <w:r>
              <w:tab/>
            </w:r>
            <w:proofErr w:type="gramStart"/>
            <w:r>
              <w:rPr>
                <w:spacing w:val="-2"/>
              </w:rPr>
              <w:t>Diciembre</w:t>
            </w:r>
            <w:proofErr w:type="gramEnd"/>
            <w:r>
              <w:tab/>
            </w:r>
            <w:r>
              <w:rPr>
                <w:spacing w:val="-6"/>
              </w:rPr>
              <w:t>de</w:t>
            </w:r>
            <w:r>
              <w:tab/>
            </w:r>
            <w:r>
              <w:rPr>
                <w:spacing w:val="-4"/>
              </w:rPr>
              <w:t>1992</w:t>
            </w:r>
            <w:r>
              <w:tab/>
            </w:r>
            <w:r>
              <w:rPr>
                <w:spacing w:val="-2"/>
              </w:rPr>
              <w:t>Ratificación</w:t>
            </w:r>
            <w:r>
              <w:tab/>
            </w:r>
            <w:r>
              <w:rPr>
                <w:spacing w:val="-2"/>
              </w:rPr>
              <w:t>Protocolo</w:t>
            </w:r>
            <w:r>
              <w:tab/>
            </w:r>
            <w:r>
              <w:rPr>
                <w:spacing w:val="-6"/>
              </w:rPr>
              <w:t>de</w:t>
            </w:r>
            <w:r>
              <w:t xml:space="preserve"> </w:t>
            </w:r>
            <w:r>
              <w:rPr>
                <w:spacing w:val="-2"/>
              </w:rPr>
              <w:t>Montreal.</w:t>
            </w:r>
          </w:p>
        </w:tc>
        <w:tc>
          <w:tcPr>
            <w:tcW w:w="1844" w:type="dxa"/>
            <w:tcBorders>
              <w:top w:val="single" w:sz="4" w:space="0" w:color="000000"/>
              <w:left w:val="single" w:sz="4" w:space="0" w:color="000000"/>
              <w:bottom w:val="single" w:sz="4" w:space="0" w:color="000000"/>
              <w:right w:val="single" w:sz="4" w:space="0" w:color="000000"/>
            </w:tcBorders>
          </w:tcPr>
          <w:p w14:paraId="23CE4D09" w14:textId="77777777" w:rsidR="00FD2D35" w:rsidRDefault="00FD2D35" w:rsidP="00025311">
            <w:pPr>
              <w:pStyle w:val="TableParagraph"/>
              <w:jc w:val="left"/>
              <w:rPr>
                <w:rFonts w:ascii="Trebuchet MS"/>
              </w:rPr>
            </w:pPr>
          </w:p>
          <w:p w14:paraId="3C6E22F8" w14:textId="77777777" w:rsidR="00FD2D35" w:rsidRDefault="00FD2D35" w:rsidP="00025311">
            <w:pPr>
              <w:pStyle w:val="TableParagraph"/>
              <w:jc w:val="left"/>
              <w:rPr>
                <w:rFonts w:ascii="Trebuchet MS"/>
              </w:rPr>
            </w:pPr>
          </w:p>
          <w:p w14:paraId="68404F9F" w14:textId="77777777" w:rsidR="00FD2D35" w:rsidRDefault="00FD2D35" w:rsidP="00025311">
            <w:pPr>
              <w:pStyle w:val="TableParagraph"/>
              <w:jc w:val="left"/>
              <w:rPr>
                <w:rFonts w:ascii="Trebuchet MS"/>
              </w:rPr>
            </w:pPr>
          </w:p>
          <w:p w14:paraId="063B6433" w14:textId="77777777" w:rsidR="00FD2D35" w:rsidRDefault="00FD2D35" w:rsidP="00025311">
            <w:pPr>
              <w:pStyle w:val="TableParagraph"/>
              <w:spacing w:before="243"/>
              <w:jc w:val="left"/>
              <w:rPr>
                <w:rFonts w:ascii="Trebuchet MS"/>
              </w:rPr>
            </w:pPr>
          </w:p>
          <w:p w14:paraId="2F7FBF69" w14:textId="77777777" w:rsidR="00FD2D35" w:rsidRDefault="00FD2D35" w:rsidP="00025311">
            <w:pPr>
              <w:pStyle w:val="TableParagraph"/>
              <w:ind w:right="37"/>
            </w:pPr>
            <w:r>
              <w:rPr>
                <w:spacing w:val="-2"/>
              </w:rPr>
              <w:t>Contractual</w:t>
            </w:r>
          </w:p>
        </w:tc>
      </w:tr>
    </w:tbl>
    <w:p w14:paraId="4B499324"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0B012E5" w14:textId="77777777" w:rsidR="00572AD5" w:rsidRDefault="00572AD5">
      <w:pPr>
        <w:pBdr>
          <w:top w:val="nil"/>
          <w:left w:val="nil"/>
          <w:bottom w:val="nil"/>
          <w:right w:val="nil"/>
          <w:between w:val="nil"/>
        </w:pBdr>
        <w:jc w:val="both"/>
        <w:rPr>
          <w:rFonts w:ascii="Arial" w:eastAsia="Arial" w:hAnsi="Arial" w:cs="Arial"/>
          <w:color w:val="000000"/>
          <w:sz w:val="22"/>
          <w:szCs w:val="22"/>
        </w:rPr>
      </w:pPr>
      <w:bookmarkStart w:id="3" w:name="_udbuw962yv03" w:colFirst="0" w:colLast="0"/>
      <w:bookmarkEnd w:id="3"/>
    </w:p>
    <w:p w14:paraId="4A23E6C1" w14:textId="2C9B2593" w:rsidR="00572AD5" w:rsidRPr="00FD2D35" w:rsidRDefault="00000000" w:rsidP="00FD2D35">
      <w:pPr>
        <w:pStyle w:val="Prrafodelista"/>
        <w:numPr>
          <w:ilvl w:val="0"/>
          <w:numId w:val="27"/>
        </w:numPr>
        <w:pBdr>
          <w:top w:val="nil"/>
          <w:left w:val="nil"/>
          <w:bottom w:val="nil"/>
          <w:right w:val="nil"/>
          <w:between w:val="nil"/>
        </w:pBdr>
        <w:spacing w:after="200" w:line="276" w:lineRule="auto"/>
        <w:rPr>
          <w:rFonts w:ascii="Arial" w:eastAsia="Arial" w:hAnsi="Arial" w:cs="Arial"/>
          <w:color w:val="000000"/>
          <w:sz w:val="22"/>
          <w:szCs w:val="22"/>
        </w:rPr>
      </w:pPr>
      <w:r w:rsidRPr="00FD2D35">
        <w:rPr>
          <w:rFonts w:ascii="Arial" w:eastAsia="Arial" w:hAnsi="Arial" w:cs="Arial"/>
          <w:b/>
          <w:color w:val="000000"/>
          <w:sz w:val="22"/>
          <w:szCs w:val="22"/>
        </w:rPr>
        <w:t>FORMA DE PAGO O PLAN DE PAGO:</w:t>
      </w:r>
    </w:p>
    <w:tbl>
      <w:tblPr>
        <w:tblStyle w:val="a6"/>
        <w:tblW w:w="8921" w:type="dxa"/>
        <w:tblInd w:w="0"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400" w:firstRow="0" w:lastRow="0" w:firstColumn="0" w:lastColumn="0" w:noHBand="0" w:noVBand="1"/>
      </w:tblPr>
      <w:tblGrid>
        <w:gridCol w:w="2427"/>
        <w:gridCol w:w="6494"/>
      </w:tblGrid>
      <w:tr w:rsidR="00572AD5" w14:paraId="0BD28F6B" w14:textId="77777777">
        <w:trPr>
          <w:trHeight w:val="20"/>
        </w:trPr>
        <w:tc>
          <w:tcPr>
            <w:tcW w:w="2427" w:type="dxa"/>
            <w:tcBorders>
              <w:top w:val="single" w:sz="4" w:space="0" w:color="000000"/>
              <w:left w:val="single" w:sz="4" w:space="0" w:color="000000"/>
              <w:bottom w:val="single" w:sz="4" w:space="0" w:color="000000"/>
              <w:right w:val="single" w:sz="4" w:space="0" w:color="000000"/>
            </w:tcBorders>
            <w:vAlign w:val="center"/>
          </w:tcPr>
          <w:p w14:paraId="5E5863FC" w14:textId="77777777" w:rsidR="00572AD5" w:rsidRDefault="00000000">
            <w:pPr>
              <w:rPr>
                <w:rFonts w:ascii="Arial" w:eastAsia="Arial" w:hAnsi="Arial" w:cs="Arial"/>
                <w:sz w:val="22"/>
                <w:szCs w:val="22"/>
              </w:rPr>
            </w:pPr>
            <w:r>
              <w:rPr>
                <w:rFonts w:ascii="Arial" w:eastAsia="Arial" w:hAnsi="Arial" w:cs="Arial"/>
                <w:sz w:val="22"/>
                <w:szCs w:val="22"/>
              </w:rPr>
              <w:t>Otra forma de Pago</w:t>
            </w:r>
          </w:p>
        </w:tc>
        <w:tc>
          <w:tcPr>
            <w:tcW w:w="6494" w:type="dxa"/>
            <w:tcBorders>
              <w:top w:val="single" w:sz="4" w:space="0" w:color="000000"/>
              <w:left w:val="single" w:sz="4" w:space="0" w:color="000000"/>
              <w:bottom w:val="single" w:sz="4" w:space="0" w:color="000000"/>
              <w:right w:val="single" w:sz="4" w:space="0" w:color="000000"/>
            </w:tcBorders>
            <w:vAlign w:val="center"/>
          </w:tcPr>
          <w:p w14:paraId="0000ADA4" w14:textId="77777777" w:rsidR="00572AD5" w:rsidRDefault="00000000">
            <w:pPr>
              <w:rPr>
                <w:rFonts w:ascii="Arial" w:eastAsia="Arial" w:hAnsi="Arial" w:cs="Arial"/>
                <w:sz w:val="22"/>
                <w:szCs w:val="22"/>
              </w:rPr>
            </w:pPr>
            <w:r>
              <w:rPr>
                <w:rFonts w:ascii="Arial" w:eastAsia="Arial" w:hAnsi="Arial" w:cs="Arial"/>
                <w:sz w:val="22"/>
                <w:szCs w:val="22"/>
              </w:rPr>
              <w:t xml:space="preserve">EL SENA cancelará al CONTRATISTA el valor del contrato de manera mensual a monto agotable y de acuerdo a los bienes y servicios efectivamente recibidos a satisfacción, previa certificación del supervisor del contrato donde conste el cumplimiento a satisfacción del objeto contractual, y presentación de la factura o cuenta de cobra del objeto del presente contrato, dentro de los diez (10) días siguientes al recibo de satisfacción del SENA, con el cumplimiento de todas sus obligaciones precontractuales. </w:t>
            </w:r>
          </w:p>
          <w:p w14:paraId="3512200E" w14:textId="77777777" w:rsidR="00572AD5" w:rsidRDefault="00572AD5">
            <w:pPr>
              <w:rPr>
                <w:rFonts w:ascii="Arial" w:eastAsia="Arial" w:hAnsi="Arial" w:cs="Arial"/>
                <w:sz w:val="22"/>
                <w:szCs w:val="22"/>
              </w:rPr>
            </w:pPr>
          </w:p>
          <w:p w14:paraId="13648AC3" w14:textId="77777777" w:rsidR="00572AD5" w:rsidRDefault="00000000">
            <w:pPr>
              <w:rPr>
                <w:rFonts w:ascii="Arial" w:eastAsia="Arial" w:hAnsi="Arial" w:cs="Arial"/>
                <w:sz w:val="22"/>
                <w:szCs w:val="22"/>
              </w:rPr>
            </w:pPr>
            <w:r>
              <w:rPr>
                <w:rFonts w:ascii="Arial" w:eastAsia="Arial" w:hAnsi="Arial" w:cs="Arial"/>
                <w:sz w:val="22"/>
                <w:szCs w:val="22"/>
              </w:rPr>
              <w:t>Los pagos a que se obliga el SENA Regional Tolima en virtud del contrato se sujetarán a las apropiaciones y disponibilidades presupuestales correspondientes, y a la situación de recursos del Programa Anual Mensualizado de Caja – PAC.</w:t>
            </w:r>
          </w:p>
          <w:p w14:paraId="132C1BA8" w14:textId="77777777" w:rsidR="00572AD5" w:rsidRDefault="00572AD5">
            <w:pPr>
              <w:rPr>
                <w:rFonts w:ascii="Arial" w:eastAsia="Arial" w:hAnsi="Arial" w:cs="Arial"/>
                <w:sz w:val="22"/>
                <w:szCs w:val="22"/>
              </w:rPr>
            </w:pPr>
          </w:p>
          <w:p w14:paraId="1E2DB414" w14:textId="77777777" w:rsidR="00572AD5" w:rsidRDefault="00000000">
            <w:pPr>
              <w:rPr>
                <w:rFonts w:ascii="Arial" w:eastAsia="Arial" w:hAnsi="Arial" w:cs="Arial"/>
                <w:sz w:val="22"/>
                <w:szCs w:val="22"/>
              </w:rPr>
            </w:pPr>
            <w:r>
              <w:rPr>
                <w:rFonts w:ascii="Arial" w:eastAsia="Arial" w:hAnsi="Arial" w:cs="Arial"/>
                <w:sz w:val="22"/>
                <w:szCs w:val="22"/>
              </w:rPr>
              <w:t xml:space="preserve">El pago de cada factura se realizará dentro de los 10 días hábiles siguientes a la presentación de los siguientes documentos: </w:t>
            </w:r>
          </w:p>
          <w:p w14:paraId="5A623802" w14:textId="77777777" w:rsidR="00572AD5" w:rsidRDefault="00572AD5">
            <w:pPr>
              <w:rPr>
                <w:rFonts w:ascii="Arial" w:eastAsia="Arial" w:hAnsi="Arial" w:cs="Arial"/>
                <w:sz w:val="22"/>
                <w:szCs w:val="22"/>
              </w:rPr>
            </w:pPr>
          </w:p>
          <w:p w14:paraId="050B8F47" w14:textId="77777777" w:rsidR="00572AD5" w:rsidRDefault="00000000">
            <w:pPr>
              <w:rPr>
                <w:rFonts w:ascii="Arial" w:eastAsia="Arial" w:hAnsi="Arial" w:cs="Arial"/>
                <w:sz w:val="22"/>
                <w:szCs w:val="22"/>
              </w:rPr>
            </w:pPr>
            <w:r>
              <w:rPr>
                <w:rFonts w:ascii="Arial" w:eastAsia="Arial" w:hAnsi="Arial" w:cs="Arial"/>
                <w:sz w:val="22"/>
                <w:szCs w:val="22"/>
              </w:rPr>
              <w:t xml:space="preserve">Factura de venta, dando estricto cumplimiento a las exigencias legales que establece el artículo 617 del Estatuto Tributario, incluyendo en la factura el número del contrato, objeto de facturación, nombre y NIT de la entidad contratante y firmada </w:t>
            </w:r>
            <w:r>
              <w:rPr>
                <w:rFonts w:ascii="Arial" w:eastAsia="Arial" w:hAnsi="Arial" w:cs="Arial"/>
                <w:sz w:val="22"/>
                <w:szCs w:val="22"/>
              </w:rPr>
              <w:lastRenderedPageBreak/>
              <w:t xml:space="preserve">por el funcionario que ejerza la función de supervisión del contrato. Si el contratista está obligado a facturar IVA debe anexar copia de la factura. </w:t>
            </w:r>
          </w:p>
          <w:p w14:paraId="27845583" w14:textId="77777777" w:rsidR="00572AD5" w:rsidRDefault="00572AD5">
            <w:pPr>
              <w:rPr>
                <w:rFonts w:ascii="Arial" w:eastAsia="Arial" w:hAnsi="Arial" w:cs="Arial"/>
                <w:sz w:val="22"/>
                <w:szCs w:val="22"/>
              </w:rPr>
            </w:pPr>
          </w:p>
          <w:p w14:paraId="1AD13758" w14:textId="77777777" w:rsidR="00572AD5" w:rsidRDefault="00000000">
            <w:pPr>
              <w:rPr>
                <w:rFonts w:ascii="Arial" w:eastAsia="Arial" w:hAnsi="Arial" w:cs="Arial"/>
                <w:sz w:val="22"/>
                <w:szCs w:val="22"/>
              </w:rPr>
            </w:pPr>
            <w:r>
              <w:rPr>
                <w:rFonts w:ascii="Arial" w:eastAsia="Arial" w:hAnsi="Arial" w:cs="Arial"/>
                <w:sz w:val="22"/>
                <w:szCs w:val="22"/>
              </w:rPr>
              <w:t xml:space="preserve">En concordancia con la Directiva Presidencial 9 de 2020, a partir del 1º de abril de 2021 todos los proveedores o contratista obligados a facturar electrónicamente deberán entregar Factura Electrónica, Notas Debito o Notas Crédito, como requisito necesario para el pago de bienes y/o servicios contratados, conforme con lo señalado en el Decreto 358 de marzo de 2020 y en la Resolución 000042 del 5 de mayo de 2020 expedida por la DIAN. </w:t>
            </w:r>
          </w:p>
          <w:p w14:paraId="6744D9A6" w14:textId="77777777" w:rsidR="00572AD5" w:rsidRDefault="00572AD5">
            <w:pPr>
              <w:rPr>
                <w:rFonts w:ascii="Arial" w:eastAsia="Arial" w:hAnsi="Arial" w:cs="Arial"/>
                <w:sz w:val="22"/>
                <w:szCs w:val="22"/>
              </w:rPr>
            </w:pPr>
          </w:p>
          <w:p w14:paraId="575E955D" w14:textId="77777777" w:rsidR="00572AD5" w:rsidRDefault="00000000">
            <w:pPr>
              <w:rPr>
                <w:rFonts w:ascii="Arial" w:eastAsia="Arial" w:hAnsi="Arial" w:cs="Arial"/>
                <w:sz w:val="22"/>
                <w:szCs w:val="22"/>
              </w:rPr>
            </w:pPr>
            <w:r>
              <w:rPr>
                <w:rFonts w:ascii="Arial" w:eastAsia="Arial" w:hAnsi="Arial" w:cs="Arial"/>
                <w:sz w:val="22"/>
                <w:szCs w:val="22"/>
              </w:rPr>
              <w:t xml:space="preserve">Informe y recibido a satisfacción de entrega y cumplimiento de las obligaciones estipuladas para el contratista, expedido por el funcionario a cargo de ejercer las funciones de supervisor del contrato. </w:t>
            </w:r>
          </w:p>
          <w:p w14:paraId="6294E561" w14:textId="77777777" w:rsidR="00572AD5" w:rsidRDefault="00572AD5">
            <w:pPr>
              <w:rPr>
                <w:rFonts w:ascii="Arial" w:eastAsia="Arial" w:hAnsi="Arial" w:cs="Arial"/>
                <w:b/>
                <w:sz w:val="22"/>
                <w:szCs w:val="22"/>
              </w:rPr>
            </w:pPr>
          </w:p>
          <w:p w14:paraId="053096DB" w14:textId="77777777" w:rsidR="00572AD5" w:rsidRDefault="00000000">
            <w:pPr>
              <w:rPr>
                <w:rFonts w:ascii="Arial" w:eastAsia="Arial" w:hAnsi="Arial" w:cs="Arial"/>
                <w:sz w:val="22"/>
                <w:szCs w:val="22"/>
              </w:rPr>
            </w:pPr>
            <w:r>
              <w:rPr>
                <w:rFonts w:ascii="Arial" w:eastAsia="Arial" w:hAnsi="Arial" w:cs="Arial"/>
                <w:sz w:val="22"/>
                <w:szCs w:val="22"/>
              </w:rPr>
              <w:t xml:space="preserve">Acreditación del pago de aportes al Sistema de Seguridad Social y Aportes Parafiscales, acompañado de las planillas de pago del período correspondiente a la ejecución del contrato Acreditación del pago de aportes al Sistema de Seguridad Social y Aportes Parafiscales, acompañado de las planillas de pago donde el SENA pueda verificar la liquidación y pago de aportes a pensión y otros aportes del período (mes) correspondiente a la entrega de los bienes y/o servicios contratados y por ende facturados. </w:t>
            </w:r>
          </w:p>
          <w:p w14:paraId="3417F027" w14:textId="77777777" w:rsidR="00572AD5" w:rsidRDefault="00572AD5">
            <w:pPr>
              <w:rPr>
                <w:rFonts w:ascii="Arial" w:eastAsia="Arial" w:hAnsi="Arial" w:cs="Arial"/>
                <w:b/>
                <w:sz w:val="22"/>
                <w:szCs w:val="22"/>
              </w:rPr>
            </w:pPr>
          </w:p>
          <w:p w14:paraId="1564E289" w14:textId="77777777" w:rsidR="00572AD5" w:rsidRDefault="00000000">
            <w:pPr>
              <w:rPr>
                <w:rFonts w:ascii="Arial" w:eastAsia="Arial" w:hAnsi="Arial" w:cs="Arial"/>
                <w:sz w:val="22"/>
                <w:szCs w:val="22"/>
              </w:rPr>
            </w:pPr>
            <w:r>
              <w:rPr>
                <w:rFonts w:ascii="Arial" w:eastAsia="Arial" w:hAnsi="Arial" w:cs="Arial"/>
                <w:sz w:val="22"/>
                <w:szCs w:val="22"/>
              </w:rPr>
              <w:t xml:space="preserve">Certificado de cuenta bancaria del beneficiario del pago con fecha de expedición no mayor a 30 días. </w:t>
            </w:r>
          </w:p>
          <w:p w14:paraId="5A53577E" w14:textId="77777777" w:rsidR="00572AD5" w:rsidRDefault="00572AD5">
            <w:pPr>
              <w:rPr>
                <w:rFonts w:ascii="Arial" w:eastAsia="Arial" w:hAnsi="Arial" w:cs="Arial"/>
                <w:b/>
                <w:sz w:val="22"/>
                <w:szCs w:val="22"/>
              </w:rPr>
            </w:pPr>
          </w:p>
          <w:p w14:paraId="4A505FAE" w14:textId="77777777" w:rsidR="00572AD5" w:rsidRDefault="00000000">
            <w:pPr>
              <w:rPr>
                <w:rFonts w:ascii="Arial" w:eastAsia="Arial" w:hAnsi="Arial" w:cs="Arial"/>
                <w:sz w:val="22"/>
                <w:szCs w:val="22"/>
              </w:rPr>
            </w:pPr>
            <w:r>
              <w:rPr>
                <w:rFonts w:ascii="Arial" w:eastAsia="Arial" w:hAnsi="Arial" w:cs="Arial"/>
                <w:sz w:val="22"/>
                <w:szCs w:val="22"/>
              </w:rPr>
              <w:t xml:space="preserve">Resolución de Facturación (autorización de facturación) expedida por la DIAN con vigencia no mayor a dos años respecto a la fecha de entrega de la factura. Una vez reunida la documentación pertinente para el inicio del trámite del pago, el contratista deberá atender lo estipulado en la Circular Nº01-3-2020-000054, o la que la sustituya donde debe conformar dos archivos de la siguiente manera GESTION FINANCIERA Y GESTION CONTRACTUAL: </w:t>
            </w:r>
          </w:p>
          <w:p w14:paraId="08736710" w14:textId="77777777" w:rsidR="00572AD5" w:rsidRDefault="00572AD5">
            <w:pPr>
              <w:rPr>
                <w:rFonts w:ascii="Arial" w:eastAsia="Arial" w:hAnsi="Arial" w:cs="Arial"/>
                <w:sz w:val="22"/>
                <w:szCs w:val="22"/>
              </w:rPr>
            </w:pPr>
          </w:p>
          <w:p w14:paraId="4E4583EA" w14:textId="77777777" w:rsidR="00572AD5" w:rsidRDefault="00000000">
            <w:pPr>
              <w:rPr>
                <w:rFonts w:ascii="Arial" w:eastAsia="Arial" w:hAnsi="Arial" w:cs="Arial"/>
                <w:sz w:val="22"/>
                <w:szCs w:val="22"/>
              </w:rPr>
            </w:pPr>
            <w:r>
              <w:rPr>
                <w:rFonts w:ascii="Arial" w:eastAsia="Arial" w:hAnsi="Arial" w:cs="Arial"/>
                <w:sz w:val="22"/>
                <w:szCs w:val="22"/>
              </w:rPr>
              <w:t xml:space="preserve">GF_NIT_RP_MES_AÑO_PDF GC_NIT_RP_MES_AÑO_PDF </w:t>
            </w:r>
          </w:p>
          <w:p w14:paraId="5BE27D33" w14:textId="77777777" w:rsidR="00572AD5" w:rsidRDefault="00572AD5">
            <w:pPr>
              <w:rPr>
                <w:rFonts w:ascii="Arial" w:eastAsia="Arial" w:hAnsi="Arial" w:cs="Arial"/>
                <w:sz w:val="22"/>
                <w:szCs w:val="22"/>
              </w:rPr>
            </w:pPr>
          </w:p>
          <w:p w14:paraId="1AE9FB86" w14:textId="77777777" w:rsidR="00572AD5" w:rsidRDefault="00000000">
            <w:pPr>
              <w:rPr>
                <w:rFonts w:ascii="Arial" w:eastAsia="Arial" w:hAnsi="Arial" w:cs="Arial"/>
                <w:sz w:val="22"/>
                <w:szCs w:val="22"/>
              </w:rPr>
            </w:pPr>
            <w:r>
              <w:rPr>
                <w:rFonts w:ascii="Arial" w:eastAsia="Arial" w:hAnsi="Arial" w:cs="Arial"/>
                <w:sz w:val="22"/>
                <w:szCs w:val="22"/>
              </w:rPr>
              <w:t xml:space="preserve">Estos documentos deberán ser auténticos, legibles, y completos. Tenga en cuenta, se entiende la titularidad y la aprobación del Contratista una vez suba el documento a la plataforma de SECOP II, por lo que no es necesario la firma. Es necesario que cada Contratista realice personalmente esta actividad siendo cuidadoso con la información registrada, que </w:t>
            </w:r>
            <w:r>
              <w:rPr>
                <w:rFonts w:ascii="Arial" w:eastAsia="Arial" w:hAnsi="Arial" w:cs="Arial"/>
                <w:sz w:val="22"/>
                <w:szCs w:val="22"/>
              </w:rPr>
              <w:lastRenderedPageBreak/>
              <w:t xml:space="preserve">se encuentren en el orden establecido y se encuentren en formato PDF o en ZIP. </w:t>
            </w:r>
          </w:p>
          <w:p w14:paraId="1D631009" w14:textId="77777777" w:rsidR="00572AD5" w:rsidRDefault="00572AD5">
            <w:pPr>
              <w:rPr>
                <w:rFonts w:ascii="Arial" w:eastAsia="Arial" w:hAnsi="Arial" w:cs="Arial"/>
                <w:sz w:val="22"/>
                <w:szCs w:val="22"/>
              </w:rPr>
            </w:pPr>
          </w:p>
          <w:p w14:paraId="7C6AE043" w14:textId="77777777" w:rsidR="00572AD5" w:rsidRDefault="00000000">
            <w:pPr>
              <w:rPr>
                <w:rFonts w:ascii="Arial" w:eastAsia="Arial" w:hAnsi="Arial" w:cs="Arial"/>
                <w:sz w:val="22"/>
                <w:szCs w:val="22"/>
              </w:rPr>
            </w:pPr>
            <w:r>
              <w:rPr>
                <w:rFonts w:ascii="Arial" w:eastAsia="Arial" w:hAnsi="Arial" w:cs="Arial"/>
                <w:sz w:val="22"/>
                <w:szCs w:val="22"/>
              </w:rPr>
              <w:t xml:space="preserve">Para los pagos, si es persona jurídica en los procesos de adquisición de bienes, obras y servicios, el Supervisor verificará que dentro del archivo GESTION FINANCIERA se encuentre la Certificación del pago de los aportes parafiscales no mayores a 30 días, firmadas por el Revisor Fiscal o Representante Legal, así como el soporte de la planilla de pago de la seguridad social. </w:t>
            </w:r>
          </w:p>
          <w:p w14:paraId="2B2A76FB" w14:textId="77777777" w:rsidR="00572AD5" w:rsidRDefault="00572AD5">
            <w:pPr>
              <w:rPr>
                <w:rFonts w:ascii="Arial" w:eastAsia="Arial" w:hAnsi="Arial" w:cs="Arial"/>
                <w:sz w:val="22"/>
                <w:szCs w:val="22"/>
              </w:rPr>
            </w:pPr>
          </w:p>
          <w:p w14:paraId="172352C7" w14:textId="77777777" w:rsidR="00572AD5" w:rsidRDefault="00000000">
            <w:pPr>
              <w:rPr>
                <w:rFonts w:ascii="Arial" w:eastAsia="Arial" w:hAnsi="Arial" w:cs="Arial"/>
                <w:sz w:val="22"/>
                <w:szCs w:val="22"/>
              </w:rPr>
            </w:pPr>
            <w:r>
              <w:rPr>
                <w:rFonts w:ascii="Arial" w:eastAsia="Arial" w:hAnsi="Arial" w:cs="Arial"/>
                <w:sz w:val="22"/>
                <w:szCs w:val="22"/>
              </w:rPr>
              <w:t xml:space="preserve">Si es persona natural se debe remitir el soporte de pago de su seguridad social del mes anterior del periodo objeto del cobro. </w:t>
            </w:r>
          </w:p>
          <w:p w14:paraId="412B5CBB" w14:textId="77777777" w:rsidR="00572AD5" w:rsidRDefault="00572AD5">
            <w:pPr>
              <w:rPr>
                <w:rFonts w:ascii="Arial" w:eastAsia="Arial" w:hAnsi="Arial" w:cs="Arial"/>
                <w:sz w:val="22"/>
                <w:szCs w:val="22"/>
              </w:rPr>
            </w:pPr>
          </w:p>
          <w:p w14:paraId="379153DE" w14:textId="77777777" w:rsidR="00572AD5" w:rsidRDefault="00000000">
            <w:pPr>
              <w:rPr>
                <w:rFonts w:ascii="Arial" w:eastAsia="Arial" w:hAnsi="Arial" w:cs="Arial"/>
                <w:sz w:val="22"/>
                <w:szCs w:val="22"/>
              </w:rPr>
            </w:pPr>
            <w:r>
              <w:rPr>
                <w:rFonts w:ascii="Arial" w:eastAsia="Arial" w:hAnsi="Arial" w:cs="Arial"/>
                <w:sz w:val="22"/>
                <w:szCs w:val="22"/>
              </w:rPr>
              <w:t xml:space="preserve">Este documento es escaneado y subido como un tercer documento en SECOP II, siguiendo la estructura: </w:t>
            </w:r>
          </w:p>
          <w:p w14:paraId="5D4B2EA2" w14:textId="77777777" w:rsidR="00572AD5" w:rsidRDefault="00572AD5">
            <w:pPr>
              <w:rPr>
                <w:rFonts w:ascii="Arial" w:eastAsia="Arial" w:hAnsi="Arial" w:cs="Arial"/>
                <w:sz w:val="22"/>
                <w:szCs w:val="22"/>
              </w:rPr>
            </w:pPr>
          </w:p>
          <w:p w14:paraId="2848E587" w14:textId="77777777" w:rsidR="00572AD5" w:rsidRDefault="00000000">
            <w:pPr>
              <w:rPr>
                <w:rFonts w:ascii="Arial" w:eastAsia="Arial" w:hAnsi="Arial" w:cs="Arial"/>
                <w:sz w:val="22"/>
                <w:szCs w:val="22"/>
              </w:rPr>
            </w:pPr>
            <w:r>
              <w:rPr>
                <w:rFonts w:ascii="Arial" w:eastAsia="Arial" w:hAnsi="Arial" w:cs="Arial"/>
                <w:sz w:val="22"/>
                <w:szCs w:val="22"/>
              </w:rPr>
              <w:t xml:space="preserve">FV_Nº Factura_NIT_ RP_MES_AÑO.pdf </w:t>
            </w:r>
          </w:p>
          <w:p w14:paraId="0F9A3C5F" w14:textId="77777777" w:rsidR="00572AD5" w:rsidRDefault="00572AD5">
            <w:pPr>
              <w:rPr>
                <w:rFonts w:ascii="Arial" w:eastAsia="Arial" w:hAnsi="Arial" w:cs="Arial"/>
                <w:sz w:val="22"/>
                <w:szCs w:val="22"/>
              </w:rPr>
            </w:pPr>
          </w:p>
          <w:p w14:paraId="2B0AB133" w14:textId="77777777" w:rsidR="00572AD5" w:rsidRDefault="00000000">
            <w:pPr>
              <w:rPr>
                <w:rFonts w:ascii="Arial" w:eastAsia="Arial" w:hAnsi="Arial" w:cs="Arial"/>
                <w:sz w:val="22"/>
                <w:szCs w:val="22"/>
              </w:rPr>
            </w:pPr>
            <w:r>
              <w:rPr>
                <w:rFonts w:ascii="Arial" w:eastAsia="Arial" w:hAnsi="Arial" w:cs="Arial"/>
                <w:sz w:val="22"/>
                <w:szCs w:val="22"/>
              </w:rPr>
              <w:t xml:space="preserve">Solamente se confirma el "registro de la factura", cuando se encuentren los documentos cargados en SECOP II, en ese momento se dará enviar a la entidad. Si comete error, borre el registro y vuelva a efectuar la actividad hasta que se encuentre seguro que están completos los documentos y son los documentos que va a presentar como soporte de la cuenta de cobro o factura. </w:t>
            </w:r>
          </w:p>
          <w:p w14:paraId="543CBD34" w14:textId="77777777" w:rsidR="00572AD5" w:rsidRDefault="00572AD5">
            <w:pPr>
              <w:rPr>
                <w:rFonts w:ascii="Arial" w:eastAsia="Arial" w:hAnsi="Arial" w:cs="Arial"/>
                <w:sz w:val="22"/>
                <w:szCs w:val="22"/>
              </w:rPr>
            </w:pPr>
          </w:p>
          <w:p w14:paraId="39335F43" w14:textId="77777777" w:rsidR="00572AD5" w:rsidRDefault="00000000">
            <w:pPr>
              <w:rPr>
                <w:rFonts w:ascii="Arial" w:eastAsia="Arial" w:hAnsi="Arial" w:cs="Arial"/>
                <w:sz w:val="22"/>
                <w:szCs w:val="22"/>
              </w:rPr>
            </w:pPr>
            <w:r>
              <w:rPr>
                <w:rFonts w:ascii="Arial" w:eastAsia="Arial" w:hAnsi="Arial" w:cs="Arial"/>
                <w:sz w:val="22"/>
                <w:szCs w:val="22"/>
              </w:rPr>
              <w:t xml:space="preserve">Si se envía a la entidad antes de haber subido la totalidad de los documentos, se crea automáticamente otro pago, lo cual solo puede ser corregido por el Supervisor del Contrato, lo que acarreará demora en el trámite y su posterior pago. </w:t>
            </w:r>
          </w:p>
          <w:p w14:paraId="02DA7259" w14:textId="77777777" w:rsidR="00572AD5" w:rsidRDefault="00572AD5">
            <w:pPr>
              <w:rPr>
                <w:rFonts w:ascii="Arial" w:eastAsia="Arial" w:hAnsi="Arial" w:cs="Arial"/>
                <w:sz w:val="22"/>
                <w:szCs w:val="22"/>
              </w:rPr>
            </w:pPr>
          </w:p>
          <w:p w14:paraId="11616E1E" w14:textId="77777777" w:rsidR="00572AD5" w:rsidRDefault="00000000">
            <w:pPr>
              <w:rPr>
                <w:rFonts w:ascii="Arial" w:eastAsia="Arial" w:hAnsi="Arial" w:cs="Arial"/>
                <w:sz w:val="22"/>
                <w:szCs w:val="22"/>
              </w:rPr>
            </w:pPr>
            <w:r>
              <w:rPr>
                <w:rFonts w:ascii="Arial" w:eastAsia="Arial" w:hAnsi="Arial" w:cs="Arial"/>
                <w:sz w:val="22"/>
                <w:szCs w:val="22"/>
              </w:rPr>
              <w:t xml:space="preserve">El Supervisor del Contrato, utilizando su usuario y contraseña, revisa los documentos que han sido enviados por los Contratistas por medio de SECOP II, este aprobará o rechazarla solicitud de pago enviada por el contratista; para esto tendrá en cuenta el cumplimiento las obligaciones contractuales suscritas en contrato o convenio, la idoneidad de los documentos enviados por el contratista y el cumplimiento de fechas. </w:t>
            </w:r>
          </w:p>
          <w:p w14:paraId="61CA27B3" w14:textId="77777777" w:rsidR="00572AD5" w:rsidRDefault="00572AD5">
            <w:pPr>
              <w:rPr>
                <w:rFonts w:ascii="Arial" w:eastAsia="Arial" w:hAnsi="Arial" w:cs="Arial"/>
                <w:sz w:val="22"/>
                <w:szCs w:val="22"/>
              </w:rPr>
            </w:pPr>
          </w:p>
          <w:p w14:paraId="2361F4B7" w14:textId="77777777" w:rsidR="00572AD5" w:rsidRDefault="00000000">
            <w:pPr>
              <w:rPr>
                <w:rFonts w:ascii="Arial" w:eastAsia="Arial" w:hAnsi="Arial" w:cs="Arial"/>
                <w:sz w:val="22"/>
                <w:szCs w:val="22"/>
              </w:rPr>
            </w:pPr>
            <w:r>
              <w:rPr>
                <w:rFonts w:ascii="Arial" w:eastAsia="Arial" w:hAnsi="Arial" w:cs="Arial"/>
                <w:sz w:val="22"/>
                <w:szCs w:val="22"/>
              </w:rPr>
              <w:t xml:space="preserve">El Supervisor del Contrato enviará solicitud de inicio de trámite de pago por todos los demás conceptos correspondiente a adquisición de bienes, obras y servicios, al nominador una vez se cumpla el trámite correspondiente. </w:t>
            </w:r>
          </w:p>
          <w:p w14:paraId="7FF5DF87" w14:textId="77777777" w:rsidR="00572AD5" w:rsidRDefault="00572AD5">
            <w:pPr>
              <w:rPr>
                <w:rFonts w:ascii="Arial" w:eastAsia="Arial" w:hAnsi="Arial" w:cs="Arial"/>
                <w:sz w:val="22"/>
                <w:szCs w:val="22"/>
              </w:rPr>
            </w:pPr>
          </w:p>
          <w:p w14:paraId="168D3016" w14:textId="77777777" w:rsidR="00572AD5" w:rsidRDefault="00000000">
            <w:pPr>
              <w:rPr>
                <w:rFonts w:ascii="Arial" w:eastAsia="Arial" w:hAnsi="Arial" w:cs="Arial"/>
                <w:sz w:val="22"/>
                <w:szCs w:val="22"/>
              </w:rPr>
            </w:pPr>
            <w:r>
              <w:rPr>
                <w:rFonts w:ascii="Arial" w:eastAsia="Arial" w:hAnsi="Arial" w:cs="Arial"/>
                <w:sz w:val="22"/>
                <w:szCs w:val="22"/>
              </w:rPr>
              <w:t xml:space="preserve">Los pagos que el SENA se comprometa a efectuar están sujetos a disponibilidad de PAC, de acuerdo con las </w:t>
            </w:r>
            <w:r>
              <w:rPr>
                <w:rFonts w:ascii="Arial" w:eastAsia="Arial" w:hAnsi="Arial" w:cs="Arial"/>
                <w:sz w:val="22"/>
                <w:szCs w:val="22"/>
              </w:rPr>
              <w:lastRenderedPageBreak/>
              <w:t xml:space="preserve">asignaciones realizadas por el Ministerio de Hacienda y Crédito Público por intermediación de la Dirección General y en concordancia a las normas vigentes. </w:t>
            </w:r>
          </w:p>
          <w:p w14:paraId="417A8127" w14:textId="77777777" w:rsidR="00572AD5" w:rsidRDefault="00572AD5">
            <w:pPr>
              <w:rPr>
                <w:rFonts w:ascii="Arial" w:eastAsia="Arial" w:hAnsi="Arial" w:cs="Arial"/>
                <w:sz w:val="22"/>
                <w:szCs w:val="22"/>
              </w:rPr>
            </w:pPr>
          </w:p>
          <w:p w14:paraId="13B981BF" w14:textId="77777777" w:rsidR="00572AD5" w:rsidRDefault="00000000">
            <w:pPr>
              <w:rPr>
                <w:rFonts w:ascii="Arial" w:eastAsia="Arial" w:hAnsi="Arial" w:cs="Arial"/>
                <w:sz w:val="22"/>
                <w:szCs w:val="22"/>
              </w:rPr>
            </w:pPr>
            <w:r>
              <w:rPr>
                <w:rFonts w:ascii="Arial" w:eastAsia="Arial" w:hAnsi="Arial" w:cs="Arial"/>
                <w:sz w:val="22"/>
                <w:szCs w:val="22"/>
              </w:rPr>
              <w:t xml:space="preserve">Cuando el contratista sea agente auto retenedor deberá informar en la factura esta condición con la finalidad de no efectuar la retención por parte del SENA Según lo estipulado en el Artículo 19 de la Ley 1150 de 2007, el SENA respetará el orden de presentación de los pagos por parte de los contratistas. No obstante, si las facturas no han sido correctamente elaboradas o no son acompañadas de los documentos requeridos para el pago, el término para el pago comenzará a contarse a partir de la fecha en la que se haya aportado el último de los documentos y estén todos diligenciados correctamente. Las demoras que se presenten en estos conceptos serán responsabilidad del contratista y no tendrán por ello derecho a pago de intereses o compensación alguna por parte del SENA. </w:t>
            </w:r>
          </w:p>
          <w:p w14:paraId="4EB3484A" w14:textId="77777777" w:rsidR="00572AD5" w:rsidRDefault="00572AD5">
            <w:pPr>
              <w:rPr>
                <w:rFonts w:ascii="Arial" w:eastAsia="Arial" w:hAnsi="Arial" w:cs="Arial"/>
                <w:sz w:val="22"/>
                <w:szCs w:val="22"/>
              </w:rPr>
            </w:pPr>
          </w:p>
          <w:p w14:paraId="4EE918CC" w14:textId="77777777" w:rsidR="00572AD5" w:rsidRDefault="00000000">
            <w:pPr>
              <w:rPr>
                <w:rFonts w:ascii="Arial" w:eastAsia="Arial" w:hAnsi="Arial" w:cs="Arial"/>
                <w:sz w:val="22"/>
                <w:szCs w:val="22"/>
              </w:rPr>
            </w:pPr>
            <w:r>
              <w:rPr>
                <w:rFonts w:ascii="Arial" w:eastAsia="Arial" w:hAnsi="Arial" w:cs="Arial"/>
                <w:b/>
                <w:sz w:val="22"/>
                <w:szCs w:val="22"/>
              </w:rPr>
              <w:t>Cargas Administrativas</w:t>
            </w:r>
            <w:r>
              <w:rPr>
                <w:rFonts w:ascii="Arial" w:eastAsia="Arial" w:hAnsi="Arial" w:cs="Arial"/>
                <w:sz w:val="22"/>
                <w:szCs w:val="22"/>
              </w:rPr>
              <w:t xml:space="preserve">: El contratista asumirá el valor de la expedición de pólizas y demás gastos administrativos relacionados con la ejecución del contrato. </w:t>
            </w:r>
          </w:p>
          <w:p w14:paraId="5F6922BF" w14:textId="77777777" w:rsidR="00572AD5" w:rsidRDefault="00572AD5">
            <w:pPr>
              <w:rPr>
                <w:rFonts w:ascii="Arial" w:eastAsia="Arial" w:hAnsi="Arial" w:cs="Arial"/>
                <w:sz w:val="22"/>
                <w:szCs w:val="22"/>
              </w:rPr>
            </w:pPr>
          </w:p>
          <w:p w14:paraId="5F66F504" w14:textId="77777777" w:rsidR="00572AD5" w:rsidRDefault="00000000">
            <w:pPr>
              <w:rPr>
                <w:rFonts w:ascii="Arial" w:eastAsia="Arial" w:hAnsi="Arial" w:cs="Arial"/>
                <w:sz w:val="22"/>
                <w:szCs w:val="22"/>
              </w:rPr>
            </w:pPr>
            <w:r>
              <w:rPr>
                <w:rFonts w:ascii="Arial" w:eastAsia="Arial" w:hAnsi="Arial" w:cs="Arial"/>
                <w:b/>
                <w:sz w:val="22"/>
                <w:szCs w:val="22"/>
              </w:rPr>
              <w:t>Cargas Tributarias</w:t>
            </w:r>
            <w:r>
              <w:rPr>
                <w:rFonts w:ascii="Arial" w:eastAsia="Arial" w:hAnsi="Arial" w:cs="Arial"/>
                <w:sz w:val="22"/>
                <w:szCs w:val="22"/>
              </w:rPr>
              <w:t>: En razón a la ejecución del presente contrato, el contratista deberá asumir todas las cargas tributarias que se generen con ocasión de la celebración del contrato tales como retención en la fuente, RETEICA, RETEIVA o a las que hay lugar y este obligado según las disposiciones legales vigente para tal efecto.</w:t>
            </w:r>
          </w:p>
        </w:tc>
      </w:tr>
    </w:tbl>
    <w:p w14:paraId="27D4C41B" w14:textId="77777777" w:rsidR="00572AD5" w:rsidRDefault="00572AD5">
      <w:pPr>
        <w:jc w:val="both"/>
        <w:rPr>
          <w:rFonts w:ascii="Arial" w:eastAsia="Arial" w:hAnsi="Arial" w:cs="Arial"/>
          <w:b/>
        </w:rPr>
      </w:pPr>
    </w:p>
    <w:p w14:paraId="2873F72F" w14:textId="77777777" w:rsidR="00572AD5" w:rsidRPr="00222526" w:rsidRDefault="00000000" w:rsidP="00FD2D35">
      <w:pPr>
        <w:numPr>
          <w:ilvl w:val="0"/>
          <w:numId w:val="27"/>
        </w:numPr>
        <w:pBdr>
          <w:top w:val="nil"/>
          <w:left w:val="nil"/>
          <w:bottom w:val="nil"/>
          <w:right w:val="nil"/>
          <w:between w:val="nil"/>
        </w:pBdr>
        <w:spacing w:after="200" w:line="276" w:lineRule="auto"/>
        <w:jc w:val="both"/>
        <w:rPr>
          <w:rFonts w:ascii="Arial" w:eastAsia="Arial" w:hAnsi="Arial" w:cs="Arial"/>
          <w:color w:val="000000"/>
          <w:sz w:val="22"/>
          <w:szCs w:val="22"/>
        </w:rPr>
      </w:pPr>
      <w:r>
        <w:rPr>
          <w:rFonts w:ascii="Arial" w:eastAsia="Arial" w:hAnsi="Arial" w:cs="Arial"/>
          <w:b/>
          <w:color w:val="000000"/>
          <w:sz w:val="22"/>
          <w:szCs w:val="22"/>
        </w:rPr>
        <w:t>PERSPECTIVA TECNICA / OBLIGACIONES</w:t>
      </w:r>
    </w:p>
    <w:p w14:paraId="2EDBF3C1" w14:textId="7F15CB35" w:rsidR="00222526" w:rsidRPr="00222526" w:rsidRDefault="006D529A" w:rsidP="00222526">
      <w:pPr>
        <w:pBdr>
          <w:top w:val="nil"/>
          <w:left w:val="nil"/>
          <w:bottom w:val="nil"/>
          <w:right w:val="nil"/>
          <w:between w:val="nil"/>
        </w:pBdr>
        <w:spacing w:after="200" w:line="276" w:lineRule="auto"/>
        <w:jc w:val="both"/>
        <w:rPr>
          <w:rFonts w:ascii="Arial" w:eastAsia="Arial" w:hAnsi="Arial" w:cs="Arial"/>
          <w:b/>
          <w:color w:val="000000"/>
          <w:sz w:val="22"/>
          <w:szCs w:val="22"/>
        </w:rPr>
      </w:pPr>
      <w:r w:rsidRPr="00222526">
        <w:rPr>
          <w:rFonts w:ascii="Arial" w:eastAsia="Arial" w:hAnsi="Arial" w:cs="Arial"/>
          <w:b/>
          <w:color w:val="000000"/>
          <w:sz w:val="22"/>
          <w:szCs w:val="22"/>
        </w:rPr>
        <w:t xml:space="preserve">Obligaciones Generales </w:t>
      </w:r>
      <w:r>
        <w:rPr>
          <w:rFonts w:ascii="Arial" w:eastAsia="Arial" w:hAnsi="Arial" w:cs="Arial"/>
          <w:b/>
          <w:color w:val="000000"/>
          <w:sz w:val="22"/>
          <w:szCs w:val="22"/>
        </w:rPr>
        <w:t>d</w:t>
      </w:r>
      <w:r w:rsidRPr="00222526">
        <w:rPr>
          <w:rFonts w:ascii="Arial" w:eastAsia="Arial" w:hAnsi="Arial" w:cs="Arial"/>
          <w:b/>
          <w:color w:val="000000"/>
          <w:sz w:val="22"/>
          <w:szCs w:val="22"/>
        </w:rPr>
        <w:t>el Contratista</w:t>
      </w:r>
      <w:r>
        <w:rPr>
          <w:rFonts w:ascii="Arial" w:eastAsia="Arial" w:hAnsi="Arial" w:cs="Arial"/>
          <w:b/>
          <w:color w:val="000000"/>
          <w:sz w:val="22"/>
          <w:szCs w:val="22"/>
        </w:rPr>
        <w:t>:</w:t>
      </w:r>
    </w:p>
    <w:p w14:paraId="21D81650" w14:textId="74C3D9A7" w:rsidR="00222526" w:rsidRPr="00222526" w:rsidRDefault="00222526" w:rsidP="0077390D">
      <w:pPr>
        <w:pStyle w:val="Prrafodelista"/>
        <w:numPr>
          <w:ilvl w:val="3"/>
          <w:numId w:val="49"/>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Ejecutar el objeto del contrato bajo las condiciones de calidad, oportunidad y obligaciones definidas en el proceso de contratación.</w:t>
      </w:r>
    </w:p>
    <w:p w14:paraId="79DCC1CB" w14:textId="2BFDDCD2" w:rsidR="00222526" w:rsidRPr="00222526" w:rsidRDefault="00222526" w:rsidP="0077390D">
      <w:pPr>
        <w:pStyle w:val="Prrafodelista"/>
        <w:numPr>
          <w:ilvl w:val="3"/>
          <w:numId w:val="49"/>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Cumplir con las especificaciones técnicas del objeto presentadas en la oferta.</w:t>
      </w:r>
    </w:p>
    <w:p w14:paraId="25037492" w14:textId="415C5C1A" w:rsidR="00222526" w:rsidRPr="00222526" w:rsidRDefault="00222526" w:rsidP="0077390D">
      <w:pPr>
        <w:pStyle w:val="Prrafodelista"/>
        <w:numPr>
          <w:ilvl w:val="3"/>
          <w:numId w:val="49"/>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Entregar, dentro de los tres (3) días hábiles siguientes a la suscrición del negocio jurídico, la(s) garantía(s) exigida en los estudios previos en los términos establecidos.</w:t>
      </w:r>
    </w:p>
    <w:p w14:paraId="109BC734" w14:textId="756469E4" w:rsidR="00222526" w:rsidRPr="00222526" w:rsidRDefault="00222526" w:rsidP="0077390D">
      <w:pPr>
        <w:pStyle w:val="Prrafodelista"/>
        <w:numPr>
          <w:ilvl w:val="3"/>
          <w:numId w:val="49"/>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Mantener, durante toda la vigencia del contrato, los precios incluidos en su oferta.</w:t>
      </w:r>
    </w:p>
    <w:p w14:paraId="4335D847" w14:textId="165B19E1" w:rsidR="00222526" w:rsidRPr="00222526" w:rsidRDefault="00222526" w:rsidP="0077390D">
      <w:pPr>
        <w:pStyle w:val="Prrafodelista"/>
        <w:numPr>
          <w:ilvl w:val="3"/>
          <w:numId w:val="49"/>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Obrar con lealtad y buena fe en las distintas etapas contractuales, evitando dilaciones.</w:t>
      </w:r>
    </w:p>
    <w:p w14:paraId="205BB157" w14:textId="77777777" w:rsid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 xml:space="preserve">Cuando se encuentre obligado, EL CONTRATISTA deberá presentar la facturación electrónica, previamente validada por la DIAN, como requisito para el pago de los bienes y/o servicios contratados, conforme con las disposiciones legales vigentes. </w:t>
      </w:r>
      <w:r w:rsidRPr="00222526">
        <w:rPr>
          <w:rFonts w:ascii="Arial" w:eastAsia="Arial" w:hAnsi="Arial" w:cs="Arial"/>
          <w:bCs/>
          <w:color w:val="000000"/>
          <w:sz w:val="22"/>
          <w:szCs w:val="22"/>
        </w:rPr>
        <w:lastRenderedPageBreak/>
        <w:t>Las facturas o cuentas de cobro correspondientes deberán ser presentadas según la periodicidad establecida.</w:t>
      </w:r>
    </w:p>
    <w:p w14:paraId="1C985DEC" w14:textId="664C8373"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Responder en los plazos establezca la entidad, los requerimientos de aclaración o de información que le sean formulados.</w:t>
      </w:r>
    </w:p>
    <w:p w14:paraId="1C57F2CA" w14:textId="1AB49313"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Cumplir cabalmente con sus obligaciones frente al Sistema de Seguridad Social Integral y parafiscales (Cajas de Compensación Familiar, SENA e ICBF). En el evento de no estar obligada al pago de aportes parafiscales o contratación de aprendices, el contratista aportará certificación suscrita por el Representante legal o la persona natural. El cumplimiento de esta obligación es requisito indispensable para efectuar cualquier pago.</w:t>
      </w:r>
    </w:p>
    <w:p w14:paraId="7509F0DE" w14:textId="48D9A5D3"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Controlar la ejecución del contrato, a fin de evitar la sobre ejecución del mismo.</w:t>
      </w:r>
    </w:p>
    <w:p w14:paraId="196A6B6A" w14:textId="525A98BD"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Guardar la confidencialidad de toda la información que le sea entregada y que se encuentre bajo su custodia o que por cualquier otra circunstancia deba conocer o manipular. El desconocimiento de esta obligación acarreará consecuencias de índole civil, penal y/o disciplinariamente por los perjuicios de su divulgación y/o utilización indebida que por sí o por un tercero se cause a la entidad.</w:t>
      </w:r>
    </w:p>
    <w:p w14:paraId="22A7713D" w14:textId="3F12070B"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Informar, por escrito y dentro de los 3 días hábiles siguientes a su materialización, cualquier eventualidad de fuerza mayor o caso fortuito que afecte la normal y correcta ejecución del contrato.</w:t>
      </w:r>
    </w:p>
    <w:p w14:paraId="0CAFFFB0" w14:textId="4E6B9415"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Dar a conocer al SENA cualquier reclamación, petición, orden o similar de terceros que indirecta o directamente pueda tener algún efecto sobre la ejecución del contrato o sobre sus obligaciones.</w:t>
      </w:r>
    </w:p>
    <w:p w14:paraId="2ECC6934" w14:textId="4237CA38"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No acceder a peticiones o amenazas de quienes actuando por fuera de la ley pretendan obligarlo a hacer u omitir algún acto o hecho. El contratista deberá informar de tal evento al SENA, dentro de los 3 días hábiles siguientes a su ocurrencia, y a las autoridades competentes para que se adopten las medidas necesarias.</w:t>
      </w:r>
    </w:p>
    <w:p w14:paraId="2BE5A7EB" w14:textId="5944AA05"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Restituir al SENA, al finalizar el contrato, los elementos que haya colocado a su disposición para el desarrollo del objeto contractual, en caso de que se hayan suministrado.</w:t>
      </w:r>
    </w:p>
    <w:p w14:paraId="2467BC4A" w14:textId="415D8E04" w:rsidR="00222526" w:rsidRPr="00222526" w:rsidRDefault="00222526" w:rsidP="0077390D">
      <w:pPr>
        <w:pStyle w:val="Prrafodelista"/>
        <w:numPr>
          <w:ilvl w:val="0"/>
          <w:numId w:val="50"/>
        </w:numPr>
        <w:pBdr>
          <w:top w:val="nil"/>
          <w:left w:val="nil"/>
          <w:bottom w:val="nil"/>
          <w:right w:val="nil"/>
          <w:between w:val="nil"/>
        </w:pBdr>
        <w:spacing w:after="200" w:line="276" w:lineRule="auto"/>
        <w:ind w:left="851" w:hanging="425"/>
        <w:jc w:val="both"/>
        <w:rPr>
          <w:rFonts w:ascii="Arial" w:eastAsia="Arial" w:hAnsi="Arial" w:cs="Arial"/>
          <w:bCs/>
          <w:color w:val="000000"/>
          <w:sz w:val="22"/>
          <w:szCs w:val="22"/>
        </w:rPr>
      </w:pPr>
      <w:r w:rsidRPr="00222526">
        <w:rPr>
          <w:rFonts w:ascii="Arial" w:eastAsia="Arial" w:hAnsi="Arial" w:cs="Arial"/>
          <w:bCs/>
          <w:color w:val="000000"/>
          <w:sz w:val="22"/>
          <w:szCs w:val="22"/>
        </w:rPr>
        <w:t>Las demás que se estimen de acuerdo con la naturaleza de la contratación.</w:t>
      </w:r>
    </w:p>
    <w:p w14:paraId="6B84D74F" w14:textId="60AF335B" w:rsidR="00222526" w:rsidRPr="006D529A" w:rsidRDefault="00222526" w:rsidP="00222526">
      <w:pPr>
        <w:pBdr>
          <w:top w:val="nil"/>
          <w:left w:val="nil"/>
          <w:bottom w:val="nil"/>
          <w:right w:val="nil"/>
          <w:between w:val="nil"/>
        </w:pBdr>
        <w:spacing w:after="200" w:line="276" w:lineRule="auto"/>
        <w:jc w:val="both"/>
        <w:rPr>
          <w:rFonts w:ascii="Arial" w:eastAsia="Arial" w:hAnsi="Arial" w:cs="Arial"/>
          <w:b/>
          <w:color w:val="000000"/>
          <w:sz w:val="22"/>
          <w:szCs w:val="22"/>
        </w:rPr>
      </w:pPr>
      <w:r w:rsidRPr="006D529A">
        <w:rPr>
          <w:rFonts w:ascii="Arial" w:eastAsia="Arial" w:hAnsi="Arial" w:cs="Arial"/>
          <w:b/>
          <w:color w:val="000000"/>
          <w:sz w:val="22"/>
          <w:szCs w:val="22"/>
        </w:rPr>
        <w:t>Obligaciones Especificas del Contratista</w:t>
      </w:r>
      <w:r w:rsidR="006D529A" w:rsidRPr="006D529A">
        <w:rPr>
          <w:rFonts w:ascii="Arial" w:eastAsia="Arial" w:hAnsi="Arial" w:cs="Arial"/>
          <w:b/>
          <w:color w:val="000000"/>
          <w:sz w:val="22"/>
          <w:szCs w:val="22"/>
        </w:rPr>
        <w:t>:</w:t>
      </w:r>
    </w:p>
    <w:p w14:paraId="08602F7F" w14:textId="64516B17"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Allegar al SENA en los plazos establecidos los documentos requeridos para la cumplida iniciación del contrato.</w:t>
      </w:r>
    </w:p>
    <w:p w14:paraId="6D0ACBD6" w14:textId="2E1175BF"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Garantizar la calidad de los bienes entregados.</w:t>
      </w:r>
    </w:p>
    <w:p w14:paraId="523AD37E" w14:textId="74A13CC7"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Hacer entrega exclusiva de los elementos ofertados en la propuesta con identidad de referencias, cantidades y valores, de acuerdo con las especificaciones técnicas mínimas aceptadas.</w:t>
      </w:r>
    </w:p>
    <w:p w14:paraId="35D06144" w14:textId="19D83B5F"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 xml:space="preserve">El SENA a través del supervisor podrá rechazar los bienes y/o elementos entregados si estás no cumplen con las especificaciones establecidas o por defectos de fábrica. </w:t>
      </w:r>
      <w:r w:rsidRPr="0077390D">
        <w:rPr>
          <w:rFonts w:ascii="Arial" w:eastAsia="Arial" w:hAnsi="Arial" w:cs="Arial"/>
          <w:bCs/>
          <w:color w:val="000000"/>
          <w:sz w:val="22"/>
          <w:szCs w:val="22"/>
        </w:rPr>
        <w:lastRenderedPageBreak/>
        <w:t>Así mismo el contratista deberá aceptar dichas devoluciones y queda obligado a reemplazarlas en un término no mayor de tres (3) días hábiles contados a partir de la devolución.</w:t>
      </w:r>
    </w:p>
    <w:p w14:paraId="1630350A" w14:textId="6E211C1F"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Desarrollar el objeto contractual en condiciones de eficiencia, oportunidad y calidad de conformidad a los parámetros establecidos en el SENA.</w:t>
      </w:r>
    </w:p>
    <w:p w14:paraId="526F711C" w14:textId="3EFC01EB"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Sin perjuicio de la autonomía técnica y administrativa atender las instrucciones y lineamientos que durante el desarrollo del contrato se le impartan por parte del SENA.</w:t>
      </w:r>
    </w:p>
    <w:p w14:paraId="18532D05" w14:textId="602D4B31"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Ejecutar el objeto del presente contrato en los plazos establecidos bajo las condiciones económicas, técnicas y financieras, estipuladas en los términos de referencia que se deriven del contrato que se suscriba.</w:t>
      </w:r>
    </w:p>
    <w:p w14:paraId="49F2D73B" w14:textId="028E93C4"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Programar las actividades que deba desarrollar para el cumplimiento del objeto del contrato, previa concertación con el supervisor designado.</w:t>
      </w:r>
    </w:p>
    <w:p w14:paraId="0437D80A" w14:textId="7733C332"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Colaborar con el SENA en lo que sea necesario para el cumplimiento del objeto contractual.</w:t>
      </w:r>
    </w:p>
    <w:p w14:paraId="6D67B6CB" w14:textId="50E4310E"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Acatar las instrucciones que durante el desarrollo del contrato se le imparta por parte del Supervisor designado.</w:t>
      </w:r>
    </w:p>
    <w:p w14:paraId="3EDC8EAB" w14:textId="7A634CBD"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Realizar la entrega de los bienes objeto del contrato en las instalaciones del Almacén del SENA Regional Tolima, al funcionario que cumpla las funciones de Almacenista y/o quien haga sus veces, con la presencia del supervisor del contrato.</w:t>
      </w:r>
    </w:p>
    <w:p w14:paraId="2E5A18F4" w14:textId="2BD3884B"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No acceder a peticiones o amenazas de quienes actúen fuera de la ley con el fin de obligarlos a hacer u omitir algún acto o hecho, debiendo informar inmediatamente al SENA a través del Supervisor acerca de la ocurrencia de tales peticiones o amenazas y a las demás autoridades competentes para que se adopten las medidas y correctivos que fueren necesarios.</w:t>
      </w:r>
    </w:p>
    <w:p w14:paraId="517C1285" w14:textId="0C3879F3"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Reportar de manera inmediata cualquier novedad o anomalía al Supervisor del contrato.</w:t>
      </w:r>
    </w:p>
    <w:p w14:paraId="1FDF55E7" w14:textId="62D97797" w:rsidR="00222526" w:rsidRPr="0077390D" w:rsidRDefault="00222526" w:rsidP="0077390D">
      <w:pPr>
        <w:pStyle w:val="Prrafodelista"/>
        <w:numPr>
          <w:ilvl w:val="3"/>
          <w:numId w:val="50"/>
        </w:numPr>
        <w:pBdr>
          <w:top w:val="nil"/>
          <w:left w:val="nil"/>
          <w:bottom w:val="nil"/>
          <w:right w:val="nil"/>
          <w:between w:val="nil"/>
        </w:pBdr>
        <w:spacing w:after="200" w:line="276" w:lineRule="auto"/>
        <w:ind w:left="709" w:hanging="425"/>
        <w:jc w:val="both"/>
        <w:rPr>
          <w:rFonts w:ascii="Arial" w:eastAsia="Arial" w:hAnsi="Arial" w:cs="Arial"/>
          <w:bCs/>
          <w:color w:val="000000"/>
          <w:sz w:val="22"/>
          <w:szCs w:val="22"/>
        </w:rPr>
      </w:pPr>
      <w:r w:rsidRPr="0077390D">
        <w:rPr>
          <w:rFonts w:ascii="Arial" w:eastAsia="Arial" w:hAnsi="Arial" w:cs="Arial"/>
          <w:bCs/>
          <w:color w:val="000000"/>
          <w:sz w:val="22"/>
          <w:szCs w:val="22"/>
        </w:rPr>
        <w:t>Todos los elementos que entregará el contratista deberán ser nuevos, de primera calidad y libres de defectos, cumpliendo las especificaciones de la ficha técnica correspondiente, de acuerdo con las normas de calidad y seguridad del producto.</w:t>
      </w:r>
    </w:p>
    <w:p w14:paraId="3D3223FC" w14:textId="3828B0D2" w:rsidR="00222526" w:rsidRPr="0077390D" w:rsidRDefault="00222526" w:rsidP="0077390D">
      <w:pPr>
        <w:pStyle w:val="Prrafodelista"/>
        <w:numPr>
          <w:ilvl w:val="0"/>
          <w:numId w:val="52"/>
        </w:numPr>
        <w:pBdr>
          <w:top w:val="nil"/>
          <w:left w:val="nil"/>
          <w:bottom w:val="nil"/>
          <w:right w:val="nil"/>
          <w:between w:val="nil"/>
        </w:pBdr>
        <w:spacing w:after="200" w:line="276" w:lineRule="auto"/>
        <w:jc w:val="both"/>
        <w:rPr>
          <w:rFonts w:ascii="Arial" w:eastAsia="Arial" w:hAnsi="Arial" w:cs="Arial"/>
          <w:bCs/>
          <w:color w:val="000000"/>
          <w:sz w:val="22"/>
          <w:szCs w:val="22"/>
        </w:rPr>
      </w:pPr>
      <w:r w:rsidRPr="0077390D">
        <w:rPr>
          <w:rFonts w:ascii="Arial" w:eastAsia="Arial" w:hAnsi="Arial" w:cs="Arial"/>
          <w:bCs/>
          <w:color w:val="000000"/>
          <w:sz w:val="22"/>
          <w:szCs w:val="22"/>
        </w:rPr>
        <w:t>Los elementos se deben entregar máximo ocho (08) días calendario posteriores a la solicitud por parte del supervisor del contrato.</w:t>
      </w:r>
    </w:p>
    <w:p w14:paraId="5B9890BF" w14:textId="3ECBB39A" w:rsidR="00222526" w:rsidRPr="0077390D" w:rsidRDefault="00222526" w:rsidP="0077390D">
      <w:pPr>
        <w:pStyle w:val="Prrafodelista"/>
        <w:numPr>
          <w:ilvl w:val="0"/>
          <w:numId w:val="52"/>
        </w:numPr>
        <w:pBdr>
          <w:top w:val="nil"/>
          <w:left w:val="nil"/>
          <w:bottom w:val="nil"/>
          <w:right w:val="nil"/>
          <w:between w:val="nil"/>
        </w:pBdr>
        <w:spacing w:after="200" w:line="276" w:lineRule="auto"/>
        <w:jc w:val="both"/>
        <w:rPr>
          <w:rFonts w:ascii="Arial" w:eastAsia="Arial" w:hAnsi="Arial" w:cs="Arial"/>
          <w:bCs/>
          <w:color w:val="000000"/>
          <w:sz w:val="22"/>
          <w:szCs w:val="22"/>
        </w:rPr>
      </w:pPr>
      <w:r w:rsidRPr="0077390D">
        <w:rPr>
          <w:rFonts w:ascii="Arial" w:eastAsia="Arial" w:hAnsi="Arial" w:cs="Arial"/>
          <w:bCs/>
          <w:color w:val="000000"/>
          <w:sz w:val="22"/>
          <w:szCs w:val="22"/>
        </w:rPr>
        <w:t>El transporte, cargue, descargue, entrega, riesgo y propiedad de los elementos requeridos por el SENA, serán asumidos por el contratista, hasta que se realice la entrega total a satisfacción en el lugar indicado.</w:t>
      </w:r>
    </w:p>
    <w:p w14:paraId="06F5CE8D" w14:textId="3CA512A8" w:rsidR="00222526" w:rsidRPr="0077390D" w:rsidRDefault="00222526" w:rsidP="0077390D">
      <w:pPr>
        <w:pStyle w:val="Prrafodelista"/>
        <w:numPr>
          <w:ilvl w:val="0"/>
          <w:numId w:val="52"/>
        </w:numPr>
        <w:pBdr>
          <w:top w:val="nil"/>
          <w:left w:val="nil"/>
          <w:bottom w:val="nil"/>
          <w:right w:val="nil"/>
          <w:between w:val="nil"/>
        </w:pBdr>
        <w:spacing w:after="200" w:line="276" w:lineRule="auto"/>
        <w:jc w:val="both"/>
        <w:rPr>
          <w:rFonts w:ascii="Arial" w:eastAsia="Arial" w:hAnsi="Arial" w:cs="Arial"/>
          <w:bCs/>
          <w:color w:val="000000"/>
          <w:sz w:val="22"/>
          <w:szCs w:val="22"/>
        </w:rPr>
      </w:pPr>
      <w:r w:rsidRPr="0077390D">
        <w:rPr>
          <w:rFonts w:ascii="Arial" w:eastAsia="Arial" w:hAnsi="Arial" w:cs="Arial"/>
          <w:bCs/>
          <w:color w:val="000000"/>
          <w:sz w:val="22"/>
          <w:szCs w:val="22"/>
        </w:rPr>
        <w:t>Reemplazar o restituir a su costa, sin que implique modificación al plazo de entrega, los elementos que resulten defectuosos o de mala calidad o con especificaciones diferentes o inferiores a los requeridos en la ficha técnica de la entidad, sin costo adicional para la entidad. Si el contratista no restituye los elementos defectuosos dentro del término señalado por el SENA, éste podrá declarar el siniestro de incumplimiento y/o a solicitar el pago de las multas señaladas en el contrato.</w:t>
      </w:r>
    </w:p>
    <w:p w14:paraId="1F019E90" w14:textId="58DD08C6" w:rsidR="00222526" w:rsidRPr="0077390D" w:rsidRDefault="00222526" w:rsidP="0077390D">
      <w:pPr>
        <w:pStyle w:val="Prrafodelista"/>
        <w:numPr>
          <w:ilvl w:val="0"/>
          <w:numId w:val="52"/>
        </w:numPr>
        <w:pBdr>
          <w:top w:val="nil"/>
          <w:left w:val="nil"/>
          <w:bottom w:val="nil"/>
          <w:right w:val="nil"/>
          <w:between w:val="nil"/>
        </w:pBdr>
        <w:spacing w:after="200" w:line="276" w:lineRule="auto"/>
        <w:jc w:val="both"/>
        <w:rPr>
          <w:rFonts w:ascii="Arial" w:eastAsia="Arial" w:hAnsi="Arial" w:cs="Arial"/>
          <w:bCs/>
          <w:color w:val="000000"/>
          <w:sz w:val="22"/>
          <w:szCs w:val="22"/>
        </w:rPr>
      </w:pPr>
      <w:r w:rsidRPr="0077390D">
        <w:rPr>
          <w:rFonts w:ascii="Arial" w:eastAsia="Arial" w:hAnsi="Arial" w:cs="Arial"/>
          <w:bCs/>
          <w:color w:val="000000"/>
          <w:sz w:val="22"/>
          <w:szCs w:val="22"/>
        </w:rPr>
        <w:t>Asegurar que los elementos estén cubiertos con el mejor embalaje posible, manteniendo la calidad y protección de éstos.</w:t>
      </w:r>
    </w:p>
    <w:p w14:paraId="1C2CBBA7" w14:textId="7F9BD824" w:rsidR="00222526" w:rsidRPr="0077390D" w:rsidRDefault="00222526" w:rsidP="0077390D">
      <w:pPr>
        <w:pStyle w:val="Prrafodelista"/>
        <w:numPr>
          <w:ilvl w:val="0"/>
          <w:numId w:val="52"/>
        </w:numPr>
        <w:pBdr>
          <w:top w:val="nil"/>
          <w:left w:val="nil"/>
          <w:bottom w:val="nil"/>
          <w:right w:val="nil"/>
          <w:between w:val="nil"/>
        </w:pBdr>
        <w:spacing w:after="200" w:line="276" w:lineRule="auto"/>
        <w:jc w:val="both"/>
        <w:rPr>
          <w:rFonts w:ascii="Arial" w:eastAsia="Arial" w:hAnsi="Arial" w:cs="Arial"/>
          <w:bCs/>
          <w:color w:val="000000"/>
          <w:sz w:val="22"/>
          <w:szCs w:val="22"/>
        </w:rPr>
      </w:pPr>
      <w:r w:rsidRPr="0077390D">
        <w:rPr>
          <w:rFonts w:ascii="Arial" w:eastAsia="Arial" w:hAnsi="Arial" w:cs="Arial"/>
          <w:bCs/>
          <w:color w:val="000000"/>
          <w:sz w:val="22"/>
          <w:szCs w:val="22"/>
        </w:rPr>
        <w:lastRenderedPageBreak/>
        <w:t>Las demás inherentes al cumplimiento del objeto contractual y las características técnicas.</w:t>
      </w:r>
    </w:p>
    <w:p w14:paraId="7B27B820" w14:textId="34F5EE7E" w:rsidR="00222526" w:rsidRPr="0077390D" w:rsidRDefault="00222526" w:rsidP="00222526">
      <w:pPr>
        <w:pBdr>
          <w:top w:val="nil"/>
          <w:left w:val="nil"/>
          <w:bottom w:val="nil"/>
          <w:right w:val="nil"/>
          <w:between w:val="nil"/>
        </w:pBdr>
        <w:spacing w:after="200" w:line="276" w:lineRule="auto"/>
        <w:jc w:val="both"/>
        <w:rPr>
          <w:rFonts w:ascii="Arial" w:eastAsia="Arial" w:hAnsi="Arial" w:cs="Arial"/>
          <w:b/>
          <w:color w:val="000000"/>
          <w:sz w:val="22"/>
          <w:szCs w:val="22"/>
        </w:rPr>
      </w:pPr>
      <w:r w:rsidRPr="0077390D">
        <w:rPr>
          <w:rFonts w:ascii="Arial" w:eastAsia="Arial" w:hAnsi="Arial" w:cs="Arial"/>
          <w:b/>
          <w:color w:val="000000"/>
          <w:sz w:val="22"/>
          <w:szCs w:val="22"/>
        </w:rPr>
        <w:t>Obligaciones del Servicio Nacional de Aprendizaje – SENA</w:t>
      </w:r>
      <w:r w:rsidR="006D529A">
        <w:rPr>
          <w:rFonts w:ascii="Arial" w:eastAsia="Arial" w:hAnsi="Arial" w:cs="Arial"/>
          <w:b/>
          <w:color w:val="000000"/>
          <w:sz w:val="22"/>
          <w:szCs w:val="22"/>
        </w:rPr>
        <w:t>:</w:t>
      </w:r>
    </w:p>
    <w:p w14:paraId="62766635" w14:textId="6E7D9EDB"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Exigir al contratista la ejecución idónea y oportuna de las obligaciones del presente contrato.</w:t>
      </w:r>
    </w:p>
    <w:p w14:paraId="733BD99D" w14:textId="2F965396"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Rechazar los bienes y/o servicios cuando estos no cumplan con los requerimientos técnicos exigidos.</w:t>
      </w:r>
    </w:p>
    <w:p w14:paraId="5A185E7C" w14:textId="71FA2BCB"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Pagar la contraprestación a la que tiene derecho el contratista, con ocasión de la correcta ejecución del negocio jurídico suscrito.</w:t>
      </w:r>
    </w:p>
    <w:p w14:paraId="73ED9E06" w14:textId="11EEE941"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Suministrar la información que previamente requiera el contratista en relación con el objeto del presente contrato.</w:t>
      </w:r>
    </w:p>
    <w:p w14:paraId="7DD44A5B" w14:textId="517550A9"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Suscribir conjuntamente con el contratista y/o la Interventoría las actas y los demás documentos necesarios para la ejecución y liquidación de este contrato.</w:t>
      </w:r>
    </w:p>
    <w:p w14:paraId="543580C4" w14:textId="0CFAA56D"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Adelantar las gestiones necesarias para el reconocimiento y cobro de las sanciones pecuniarias y garantías a que hubiere lugar. Para tal efecto, el Supervisor dará aviso oportuno al ordenador del gasto o a su delegado, sobre la ocurrencia de hecho constitutivo incumplimiento o mora de las prestaciones contratadas.</w:t>
      </w:r>
    </w:p>
    <w:p w14:paraId="2399B4D9" w14:textId="24871C2B"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Informar al proveedor la forma como se deben presentar las facturas o documento equivalente.</w:t>
      </w:r>
    </w:p>
    <w:p w14:paraId="7DFBBF85" w14:textId="6B7C198B" w:rsidR="00222526" w:rsidRPr="0077390D" w:rsidRDefault="00222526" w:rsidP="0077390D">
      <w:pPr>
        <w:pStyle w:val="Prrafodelista"/>
        <w:numPr>
          <w:ilvl w:val="3"/>
          <w:numId w:val="53"/>
        </w:numPr>
        <w:pBdr>
          <w:top w:val="nil"/>
          <w:left w:val="nil"/>
          <w:bottom w:val="nil"/>
          <w:right w:val="nil"/>
          <w:between w:val="nil"/>
        </w:pBdr>
        <w:spacing w:after="200" w:line="276" w:lineRule="auto"/>
        <w:ind w:left="709" w:hanging="283"/>
        <w:jc w:val="both"/>
        <w:rPr>
          <w:rFonts w:ascii="Arial" w:eastAsia="Arial" w:hAnsi="Arial" w:cs="Arial"/>
          <w:bCs/>
          <w:color w:val="000000"/>
          <w:sz w:val="22"/>
          <w:szCs w:val="22"/>
        </w:rPr>
      </w:pPr>
      <w:r w:rsidRPr="0077390D">
        <w:rPr>
          <w:rFonts w:ascii="Arial" w:eastAsia="Arial" w:hAnsi="Arial" w:cs="Arial"/>
          <w:bCs/>
          <w:color w:val="000000"/>
          <w:sz w:val="22"/>
          <w:szCs w:val="22"/>
        </w:rPr>
        <w:t>Las demás que se estimen de acuerdo con la naturaleza de la contratación.</w:t>
      </w:r>
    </w:p>
    <w:p w14:paraId="218A3B7B" w14:textId="77777777" w:rsidR="00572AD5" w:rsidRDefault="00572AD5">
      <w:pPr>
        <w:rPr>
          <w:rFonts w:ascii="Arial" w:eastAsia="Arial" w:hAnsi="Arial" w:cs="Arial"/>
        </w:rPr>
      </w:pPr>
    </w:p>
    <w:p w14:paraId="4F18AFBB" w14:textId="77777777" w:rsidR="00572AD5" w:rsidRDefault="00000000" w:rsidP="00222526">
      <w:pPr>
        <w:numPr>
          <w:ilvl w:val="0"/>
          <w:numId w:val="27"/>
        </w:numPr>
        <w:pBdr>
          <w:top w:val="nil"/>
          <w:left w:val="nil"/>
          <w:bottom w:val="nil"/>
          <w:right w:val="nil"/>
          <w:between w:val="nil"/>
        </w:pBdr>
        <w:spacing w:line="276" w:lineRule="auto"/>
        <w:ind w:left="426" w:firstLine="0"/>
        <w:rPr>
          <w:rFonts w:ascii="Arial" w:eastAsia="Arial" w:hAnsi="Arial" w:cs="Arial"/>
          <w:color w:val="000000"/>
          <w:sz w:val="22"/>
          <w:szCs w:val="22"/>
        </w:rPr>
      </w:pPr>
      <w:r>
        <w:rPr>
          <w:rFonts w:ascii="Arial" w:eastAsia="Arial" w:hAnsi="Arial" w:cs="Arial"/>
          <w:b/>
          <w:color w:val="000000"/>
          <w:sz w:val="22"/>
          <w:szCs w:val="22"/>
        </w:rPr>
        <w:t xml:space="preserve"> FUNDAMENTO LEGAL</w:t>
      </w:r>
      <w:r>
        <w:rPr>
          <w:rFonts w:ascii="Arial" w:eastAsia="Arial" w:hAnsi="Arial" w:cs="Arial"/>
          <w:color w:val="000000"/>
          <w:sz w:val="22"/>
          <w:szCs w:val="22"/>
        </w:rPr>
        <w:t>:</w:t>
      </w:r>
    </w:p>
    <w:p w14:paraId="011A6ECE" w14:textId="77777777" w:rsidR="00572AD5" w:rsidRDefault="00572AD5">
      <w:pPr>
        <w:pBdr>
          <w:top w:val="nil"/>
          <w:left w:val="nil"/>
          <w:bottom w:val="nil"/>
          <w:right w:val="nil"/>
          <w:between w:val="nil"/>
        </w:pBdr>
        <w:spacing w:line="276" w:lineRule="auto"/>
        <w:ind w:left="720"/>
        <w:rPr>
          <w:rFonts w:ascii="Arial" w:eastAsia="Arial" w:hAnsi="Arial" w:cs="Arial"/>
          <w:color w:val="000000"/>
          <w:sz w:val="22"/>
          <w:szCs w:val="22"/>
        </w:rPr>
      </w:pPr>
    </w:p>
    <w:p w14:paraId="6E198E7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Constitución Política de Colombia.</w:t>
      </w:r>
    </w:p>
    <w:p w14:paraId="657AEC21"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Estatuto General De Contratación De La Administración Pública, leyes que lo complementan o modifican y decretos reglamentarios:</w:t>
      </w:r>
    </w:p>
    <w:p w14:paraId="37C19A43"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80 de 1993</w:t>
      </w:r>
    </w:p>
    <w:p w14:paraId="1947C1E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99 de 1993 (Gestión y conservación del medio ambiente y los recursos naturales)</w:t>
      </w:r>
    </w:p>
    <w:p w14:paraId="70E5776D"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948 de 1995.</w:t>
      </w:r>
    </w:p>
    <w:p w14:paraId="2E23949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3788 de 31 de diciembre de 1986, por medio de la cual se reglamente el Estatuto Nacional de Estupefacientes, relacionado con la importación, exportación, fabricación, distribución y venta de drogas, medicamentos, materias primas o precursores;</w:t>
      </w:r>
    </w:p>
    <w:p w14:paraId="260973B3"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697 de 2001. “Mediante la cual se fomenta el uso racional y eficiente de la energía, se promueve la utilización de energías alternativas y se dictan otras disposiciones”</w:t>
      </w:r>
    </w:p>
    <w:p w14:paraId="53A86EF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816 de 2003 (apoyo a la industria nacional a través de la contratación pública.)</w:t>
      </w:r>
    </w:p>
    <w:p w14:paraId="7FB705B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850 de 2003 (veedurías ciudadanas)</w:t>
      </w:r>
    </w:p>
    <w:p w14:paraId="0F7BEEE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1474 de 2011 (Estatuto anticorrupción)</w:t>
      </w:r>
    </w:p>
    <w:p w14:paraId="2088489E"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reglamentario 1510 de 2013.</w:t>
      </w:r>
    </w:p>
    <w:p w14:paraId="4065CD2C"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Ley 1819 Reforma Tributaria 2016.</w:t>
      </w:r>
    </w:p>
    <w:p w14:paraId="1C7CF17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Circular No. 3-2013-000087 del 06 de agosto de 2013, el cual se da orientaciones de compras públicas sostenibles, teniendo en cuenta los criterios de sostenibilidad en la adquisición de determinados productos, establecidos por el ministerio de Ambiente.</w:t>
      </w:r>
    </w:p>
    <w:p w14:paraId="162E83D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4170 de 2011 (Agencia Nacional de Contratación Pública – Colombia Compra eficiente)</w:t>
      </w:r>
    </w:p>
    <w:p w14:paraId="11838BC6"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Reglamentario 1082 de 2015</w:t>
      </w:r>
    </w:p>
    <w:p w14:paraId="7E95D82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791 de 2014</w:t>
      </w:r>
    </w:p>
    <w:p w14:paraId="79E5053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Técnicas Colombianas para el planeamiento, diseño y dotación de instalaciones y ambientes escolares, (NTC 4595 de 1999, NTC 4596 de 1999, NTC 4683-4641-4732-4733/99).</w:t>
      </w:r>
    </w:p>
    <w:p w14:paraId="2834B48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361 07/02/1997 congreso de Colombia integración social de las personas con limitación. Accesibilidad al medio físico y transporte. NTC. 4144, NTC. 4201, NTC. 4142,</w:t>
      </w:r>
    </w:p>
    <w:p w14:paraId="55BF995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Legislación de Seguridad Industrial Salud Ocupacional. Análisis y aplicación de las normas de Construcción y Adecuación en Salud Ocupacional, según Resolución 2400 de 1979.</w:t>
      </w:r>
    </w:p>
    <w:p w14:paraId="3A08898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Emisiones atmosféricas, Decreto 948 05/06/1995 Min Ambiente, Vivienda y Desarrollo Territorial Establece normas de prevención y control de la contaminación atmosférica y la protección de la calidad del aire. NFPA 101 Código de Seguridad Humana</w:t>
      </w:r>
    </w:p>
    <w:p w14:paraId="748FD14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2413 22/05/1979 Min. De Trabajo y seguridad social Establece el Reglamento de Higiene y seguridad en la construcción.</w:t>
      </w:r>
    </w:p>
    <w:p w14:paraId="4C5DAD6C"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627 07/04/2006 Ministerio de Medio Ambiente por la cual se establece la norma nacional de emisión de ruido y ruido ambiental.</w:t>
      </w:r>
    </w:p>
    <w:p w14:paraId="40D2ED76"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NFPA-NEC y Código Nacional de Incendios.</w:t>
      </w:r>
    </w:p>
    <w:p w14:paraId="76ECB0EA" w14:textId="73D66E7E"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Reglamento técnico del sector de agua potable y saneamiento básico, RAS- 2000 (</w:t>
      </w:r>
    </w:p>
    <w:p w14:paraId="19652B18"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Normativas ASHRAE referentes a eficiencia energética (90.1) y confort térmico (62.1).</w:t>
      </w:r>
    </w:p>
    <w:p w14:paraId="5933074B"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Código Eléctrico Nacional, norma INCONTEC 2050.</w:t>
      </w:r>
    </w:p>
    <w:p w14:paraId="15AB9E57"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Reglamento técnico de instalaciones eléctricas Resolución No. 18 0398 de 7 de abril de 2004 expedida por el Ministerio de Minas y Energía (RETIE).</w:t>
      </w:r>
    </w:p>
    <w:p w14:paraId="72034C1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Normatividad vigente por el ente competente de los municipios en cuanto a usos, parámetros, etc.</w:t>
      </w:r>
    </w:p>
    <w:p w14:paraId="73F484F2" w14:textId="77777777" w:rsidR="00572AD5" w:rsidRDefault="00000000">
      <w:pPr>
        <w:numPr>
          <w:ilvl w:val="0"/>
          <w:numId w:val="23"/>
        </w:numPr>
        <w:pBdr>
          <w:top w:val="nil"/>
          <w:left w:val="nil"/>
          <w:bottom w:val="nil"/>
          <w:right w:val="nil"/>
          <w:between w:val="nil"/>
        </w:pBdr>
        <w:spacing w:line="276" w:lineRule="auto"/>
        <w:jc w:val="both"/>
        <w:rPr>
          <w:b/>
          <w:color w:val="000000"/>
          <w:sz w:val="22"/>
          <w:szCs w:val="22"/>
        </w:rPr>
      </w:pPr>
      <w:r>
        <w:rPr>
          <w:rFonts w:ascii="Arial" w:eastAsia="Arial" w:hAnsi="Arial" w:cs="Arial"/>
          <w:color w:val="000000"/>
          <w:sz w:val="22"/>
          <w:szCs w:val="22"/>
        </w:rPr>
        <w:t>DECRETO 1521 DE 1998 (agosto 4), por el cual se reglamenta el almacenamiento, manejo, transporte y distribución de combustibles líquidos derivados del petróleo, para estaciones de servicio</w:t>
      </w:r>
      <w:r>
        <w:rPr>
          <w:rFonts w:ascii="Arial" w:eastAsia="Arial" w:hAnsi="Arial" w:cs="Arial"/>
          <w:b/>
          <w:color w:val="000000"/>
          <w:sz w:val="22"/>
          <w:szCs w:val="22"/>
        </w:rPr>
        <w:t>.</w:t>
      </w:r>
    </w:p>
    <w:p w14:paraId="069D344D" w14:textId="77777777" w:rsidR="00572AD5" w:rsidRPr="00B50512"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40198 del 24 de junio de 2021 por lo cual se expide el Reglamento técnico aplicable a las estaciones de servicio, Instalaciones del Gran Consumidor con instalación Fija y tanques de almacenamiento del consumidor final.</w:t>
      </w:r>
    </w:p>
    <w:p w14:paraId="2C7B7F86" w14:textId="0A2CE250" w:rsidR="00B50512" w:rsidRDefault="00B50512" w:rsidP="00B50512">
      <w:pPr>
        <w:numPr>
          <w:ilvl w:val="0"/>
          <w:numId w:val="23"/>
        </w:numPr>
        <w:pBdr>
          <w:top w:val="nil"/>
          <w:left w:val="nil"/>
          <w:bottom w:val="nil"/>
          <w:right w:val="nil"/>
          <w:between w:val="nil"/>
        </w:pBdr>
        <w:spacing w:line="276" w:lineRule="auto"/>
        <w:ind w:hanging="294"/>
        <w:jc w:val="both"/>
        <w:rPr>
          <w:color w:val="000000"/>
          <w:sz w:val="22"/>
          <w:szCs w:val="22"/>
        </w:rPr>
      </w:pPr>
      <w:r>
        <w:rPr>
          <w:rFonts w:ascii="Arial" w:eastAsia="Arial" w:hAnsi="Arial" w:cs="Arial"/>
          <w:color w:val="000000"/>
          <w:sz w:val="22"/>
          <w:szCs w:val="22"/>
        </w:rPr>
        <w:t>N</w:t>
      </w:r>
      <w:r w:rsidRPr="00B50512">
        <w:rPr>
          <w:rFonts w:ascii="Arial" w:eastAsia="Arial" w:hAnsi="Arial" w:cs="Arial"/>
          <w:color w:val="000000"/>
          <w:sz w:val="22"/>
          <w:szCs w:val="22"/>
        </w:rPr>
        <w:t xml:space="preserve">orma técnica </w:t>
      </w:r>
      <w:r>
        <w:rPr>
          <w:rFonts w:ascii="Arial" w:eastAsia="Arial" w:hAnsi="Arial" w:cs="Arial"/>
          <w:color w:val="000000"/>
          <w:sz w:val="22"/>
          <w:szCs w:val="22"/>
        </w:rPr>
        <w:t>NTC</w:t>
      </w:r>
      <w:r w:rsidRPr="00B50512">
        <w:rPr>
          <w:rFonts w:ascii="Arial" w:eastAsia="Arial" w:hAnsi="Arial" w:cs="Arial"/>
          <w:color w:val="000000"/>
          <w:sz w:val="22"/>
          <w:szCs w:val="22"/>
        </w:rPr>
        <w:t xml:space="preserve"> </w:t>
      </w:r>
      <w:r>
        <w:rPr>
          <w:rFonts w:ascii="Arial" w:eastAsia="Arial" w:hAnsi="Arial" w:cs="Arial"/>
          <w:color w:val="000000"/>
          <w:sz w:val="22"/>
          <w:szCs w:val="22"/>
        </w:rPr>
        <w:t>C</w:t>
      </w:r>
      <w:r w:rsidRPr="00B50512">
        <w:rPr>
          <w:rFonts w:ascii="Arial" w:eastAsia="Arial" w:hAnsi="Arial" w:cs="Arial"/>
          <w:color w:val="000000"/>
          <w:sz w:val="22"/>
          <w:szCs w:val="22"/>
        </w:rPr>
        <w:t>olombiana 2252</w:t>
      </w:r>
    </w:p>
    <w:p w14:paraId="4B9CC9D8" w14:textId="77777777" w:rsidR="00572AD5" w:rsidRDefault="00000000">
      <w:pPr>
        <w:numPr>
          <w:ilvl w:val="0"/>
          <w:numId w:val="23"/>
        </w:numPr>
        <w:pBdr>
          <w:top w:val="nil"/>
          <w:left w:val="nil"/>
          <w:bottom w:val="nil"/>
          <w:right w:val="nil"/>
          <w:between w:val="nil"/>
        </w:pBdr>
        <w:ind w:left="709" w:hanging="283"/>
        <w:jc w:val="both"/>
        <w:rPr>
          <w:color w:val="000000"/>
          <w:sz w:val="22"/>
          <w:szCs w:val="22"/>
        </w:rPr>
      </w:pPr>
      <w:r>
        <w:rPr>
          <w:rFonts w:ascii="Arial" w:eastAsia="Arial" w:hAnsi="Arial" w:cs="Arial"/>
          <w:color w:val="000000"/>
          <w:sz w:val="22"/>
          <w:szCs w:val="22"/>
        </w:rPr>
        <w:lastRenderedPageBreak/>
        <w:t>Todas las demás normas técnicas que se requieran para la debida viabilización del proyecto</w:t>
      </w:r>
      <w:r>
        <w:rPr>
          <w:rFonts w:ascii="Arial" w:eastAsia="Arial" w:hAnsi="Arial" w:cs="Arial"/>
          <w:color w:val="FF0000"/>
          <w:sz w:val="22"/>
          <w:szCs w:val="22"/>
        </w:rPr>
        <w:t>.</w:t>
      </w:r>
    </w:p>
    <w:p w14:paraId="58F8495F" w14:textId="77777777" w:rsidR="00572AD5" w:rsidRDefault="00572AD5">
      <w:pPr>
        <w:jc w:val="both"/>
        <w:rPr>
          <w:rFonts w:ascii="Arial" w:eastAsia="Arial" w:hAnsi="Arial" w:cs="Arial"/>
        </w:rPr>
      </w:pPr>
    </w:p>
    <w:p w14:paraId="48239C8D" w14:textId="77777777" w:rsidR="00572AD5" w:rsidRDefault="00000000" w:rsidP="00FD2D35">
      <w:pPr>
        <w:numPr>
          <w:ilvl w:val="0"/>
          <w:numId w:val="27"/>
        </w:numPr>
        <w:pBdr>
          <w:top w:val="nil"/>
          <w:left w:val="nil"/>
          <w:bottom w:val="nil"/>
          <w:right w:val="nil"/>
          <w:between w:val="nil"/>
        </w:pBdr>
        <w:ind w:left="0" w:firstLine="0"/>
        <w:rPr>
          <w:rFonts w:ascii="Arial" w:eastAsia="Arial" w:hAnsi="Arial" w:cs="Arial"/>
          <w:color w:val="000000"/>
        </w:rPr>
      </w:pPr>
      <w:r>
        <w:rPr>
          <w:rFonts w:ascii="Arial" w:eastAsia="Arial" w:hAnsi="Arial" w:cs="Arial"/>
          <w:b/>
          <w:color w:val="000000"/>
          <w:sz w:val="22"/>
          <w:szCs w:val="22"/>
        </w:rPr>
        <w:t>ANALISIS DEL SECTOR:</w:t>
      </w:r>
    </w:p>
    <w:p w14:paraId="19399B4D" w14:textId="77777777" w:rsidR="00572AD5" w:rsidRDefault="00572AD5">
      <w:pPr>
        <w:pBdr>
          <w:top w:val="nil"/>
          <w:left w:val="nil"/>
          <w:bottom w:val="nil"/>
          <w:right w:val="nil"/>
          <w:between w:val="nil"/>
        </w:pBdr>
        <w:rPr>
          <w:rFonts w:ascii="Arial" w:eastAsia="Arial" w:hAnsi="Arial" w:cs="Arial"/>
          <w:b/>
          <w:color w:val="000000"/>
        </w:rPr>
      </w:pPr>
    </w:p>
    <w:p w14:paraId="520796CA" w14:textId="77777777" w:rsidR="00572AD5" w:rsidRDefault="00000000">
      <w:pPr>
        <w:jc w:val="both"/>
        <w:rPr>
          <w:rFonts w:ascii="Arial" w:eastAsia="Arial" w:hAnsi="Arial" w:cs="Arial"/>
          <w:sz w:val="22"/>
          <w:szCs w:val="22"/>
        </w:rPr>
      </w:pPr>
      <w:r>
        <w:rPr>
          <w:rFonts w:ascii="Arial" w:eastAsia="Arial" w:hAnsi="Arial" w:cs="Arial"/>
          <w:sz w:val="22"/>
          <w:szCs w:val="22"/>
        </w:rPr>
        <w:t>Los aspectos generales están referidos a los distintos contextos (Económico, social, político, ambiental, regulatorio,  técnico, etc.) que pudieren incidir o tener relación con el presente proceso contractual, en este sentido las variables macroeconómicas describen cómo está siendo la actividad económica de un país, su análisis permite a los expertos prever cómo va a evolucionar la economía y su incidencia en diferentes sectores, determinando cuáles tienen más potencial o qué empresas están mejor situadas. Los indicadores nos ayudan a conocer la situación de la economía, su estructura, su nivel de competitividad y hacia dónde se dirige. La economía clásica establece que son tres los grandes sectores de la economía:</w:t>
      </w:r>
    </w:p>
    <w:p w14:paraId="0830979B" w14:textId="77777777" w:rsidR="00572AD5" w:rsidRDefault="00572AD5">
      <w:pPr>
        <w:spacing w:line="276" w:lineRule="auto"/>
        <w:jc w:val="both"/>
        <w:rPr>
          <w:rFonts w:ascii="Arial" w:eastAsia="Arial" w:hAnsi="Arial" w:cs="Arial"/>
          <w:sz w:val="22"/>
          <w:szCs w:val="22"/>
        </w:rPr>
      </w:pPr>
    </w:p>
    <w:p w14:paraId="4B34CF14"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primario o sector agropecuario.</w:t>
      </w:r>
    </w:p>
    <w:p w14:paraId="43F90DD4"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secundario o sector industrial.</w:t>
      </w:r>
    </w:p>
    <w:p w14:paraId="44945682"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terciario o sector de servicios.</w:t>
      </w:r>
    </w:p>
    <w:p w14:paraId="09C78090" w14:textId="77777777" w:rsidR="00572AD5" w:rsidRDefault="00572AD5">
      <w:pPr>
        <w:spacing w:line="276" w:lineRule="auto"/>
        <w:rPr>
          <w:rFonts w:ascii="Arial" w:eastAsia="Arial" w:hAnsi="Arial" w:cs="Arial"/>
          <w:sz w:val="22"/>
          <w:szCs w:val="22"/>
        </w:rPr>
      </w:pPr>
    </w:p>
    <w:p w14:paraId="459BC4CB" w14:textId="77777777" w:rsidR="00572AD5" w:rsidRDefault="00000000">
      <w:pPr>
        <w:spacing w:line="276" w:lineRule="auto"/>
        <w:rPr>
          <w:rFonts w:ascii="Arial" w:eastAsia="Arial" w:hAnsi="Arial" w:cs="Arial"/>
          <w:b/>
          <w:sz w:val="22"/>
          <w:szCs w:val="22"/>
        </w:rPr>
      </w:pPr>
      <w:r>
        <w:rPr>
          <w:rFonts w:ascii="Arial" w:eastAsia="Arial" w:hAnsi="Arial" w:cs="Arial"/>
          <w:b/>
          <w:sz w:val="22"/>
          <w:szCs w:val="22"/>
        </w:rPr>
        <w:t>Sector Primario.</w:t>
      </w:r>
    </w:p>
    <w:p w14:paraId="03D9673B" w14:textId="77777777" w:rsidR="00572AD5" w:rsidRDefault="00572AD5">
      <w:pPr>
        <w:spacing w:line="276" w:lineRule="auto"/>
        <w:rPr>
          <w:rFonts w:ascii="Arial" w:eastAsia="Arial" w:hAnsi="Arial" w:cs="Arial"/>
          <w:b/>
          <w:sz w:val="22"/>
          <w:szCs w:val="22"/>
        </w:rPr>
      </w:pPr>
    </w:p>
    <w:p w14:paraId="465A00D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Se denomina aquel </w:t>
      </w:r>
      <w:r>
        <w:rPr>
          <w:rFonts w:ascii="Arial" w:eastAsia="Arial" w:hAnsi="Arial" w:cs="Arial"/>
          <w:b/>
          <w:sz w:val="22"/>
          <w:szCs w:val="22"/>
        </w:rPr>
        <w:t xml:space="preserve">sector </w:t>
      </w:r>
      <w:r>
        <w:rPr>
          <w:rFonts w:ascii="Arial" w:eastAsia="Arial" w:hAnsi="Arial" w:cs="Arial"/>
          <w:sz w:val="22"/>
          <w:szCs w:val="22"/>
        </w:rPr>
        <w:t>de la economía que comprende las actividades productivas de la extracción y obtención de materias primas, como la agricultura, la ganadería, la apicultura, la acuicultura, la pesca, la minería, la silvicultura y la explotación forestal.</w:t>
      </w:r>
    </w:p>
    <w:p w14:paraId="05DF6A70" w14:textId="77777777" w:rsidR="00572AD5" w:rsidRDefault="00572AD5">
      <w:pPr>
        <w:spacing w:line="276" w:lineRule="auto"/>
        <w:rPr>
          <w:rFonts w:ascii="Arial" w:eastAsia="Arial" w:hAnsi="Arial" w:cs="Arial"/>
          <w:sz w:val="22"/>
          <w:szCs w:val="22"/>
        </w:rPr>
      </w:pPr>
    </w:p>
    <w:p w14:paraId="670309DA" w14:textId="77777777" w:rsidR="00572AD5" w:rsidRDefault="00000000">
      <w:pPr>
        <w:spacing w:line="276" w:lineRule="auto"/>
        <w:rPr>
          <w:rFonts w:ascii="Arial" w:eastAsia="Arial" w:hAnsi="Arial" w:cs="Arial"/>
          <w:b/>
          <w:sz w:val="22"/>
          <w:szCs w:val="22"/>
        </w:rPr>
      </w:pPr>
      <w:r>
        <w:rPr>
          <w:rFonts w:ascii="Arial" w:eastAsia="Arial" w:hAnsi="Arial" w:cs="Arial"/>
          <w:b/>
          <w:sz w:val="22"/>
          <w:szCs w:val="22"/>
        </w:rPr>
        <w:t>Sector secundario o sector industrial.</w:t>
      </w:r>
    </w:p>
    <w:p w14:paraId="7A9DCEC0" w14:textId="77777777" w:rsidR="00572AD5" w:rsidRDefault="00572AD5">
      <w:pPr>
        <w:spacing w:line="276" w:lineRule="auto"/>
        <w:rPr>
          <w:rFonts w:ascii="Arial" w:eastAsia="Arial" w:hAnsi="Arial" w:cs="Arial"/>
          <w:b/>
          <w:sz w:val="22"/>
          <w:szCs w:val="22"/>
        </w:rPr>
      </w:pPr>
    </w:p>
    <w:p w14:paraId="1311A4CC"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sector secundario de una economía es el conjunto de actividades a través de las cuales las materias primas son transformadas en bienes manufacturados de consumo</w:t>
      </w:r>
      <w:r>
        <w:rPr>
          <w:rFonts w:ascii="Arial" w:eastAsia="Arial" w:hAnsi="Arial" w:cs="Arial"/>
          <w:b/>
          <w:sz w:val="22"/>
          <w:szCs w:val="22"/>
        </w:rPr>
        <w:t xml:space="preserve">. </w:t>
      </w:r>
      <w:r>
        <w:rPr>
          <w:rFonts w:ascii="Arial" w:eastAsia="Arial" w:hAnsi="Arial" w:cs="Arial"/>
          <w:sz w:val="22"/>
          <w:szCs w:val="22"/>
        </w:rPr>
        <w:t>Este concepto suele ir muy ligado al de industria o actividad manufacturera, que produce bienes elaborados o semielaborados a partir de materias primas. Esto, mediante procesos de transformación que requieren la utilización de capital y trabajo. Por ello también se le</w:t>
      </w:r>
    </w:p>
    <w:p w14:paraId="26EBE22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conoce como sector industrial.</w:t>
      </w:r>
    </w:p>
    <w:p w14:paraId="424ED26C" w14:textId="77777777" w:rsidR="00572AD5" w:rsidRDefault="00572AD5">
      <w:pPr>
        <w:spacing w:line="276" w:lineRule="auto"/>
        <w:jc w:val="both"/>
        <w:rPr>
          <w:rFonts w:ascii="Arial" w:eastAsia="Arial" w:hAnsi="Arial" w:cs="Arial"/>
          <w:sz w:val="22"/>
          <w:szCs w:val="22"/>
        </w:rPr>
      </w:pPr>
    </w:p>
    <w:p w14:paraId="64EB492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Por lo tanto, para llevar a cabo su actividad el sector secundario suele depender del sector primario como suministrador de materias primas, y del sector terciario para financiarse y contratar servicios auxiliares.</w:t>
      </w:r>
    </w:p>
    <w:p w14:paraId="316362A5" w14:textId="77777777" w:rsidR="00572AD5" w:rsidRDefault="00572AD5">
      <w:pPr>
        <w:spacing w:line="276" w:lineRule="auto"/>
        <w:jc w:val="both"/>
        <w:rPr>
          <w:rFonts w:ascii="Arial" w:eastAsia="Arial" w:hAnsi="Arial" w:cs="Arial"/>
          <w:sz w:val="22"/>
          <w:szCs w:val="22"/>
        </w:rPr>
      </w:pPr>
    </w:p>
    <w:p w14:paraId="4CCC343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Entre los subsectores encontramos el subsector de: artesanía, Industria, construcción, energía, textil, metalúrgica, entre otros más.</w:t>
      </w:r>
    </w:p>
    <w:p w14:paraId="50FC5835" w14:textId="77777777" w:rsidR="00572AD5" w:rsidRDefault="00572AD5">
      <w:pPr>
        <w:spacing w:line="276" w:lineRule="auto"/>
        <w:rPr>
          <w:rFonts w:ascii="Arial" w:eastAsia="Arial" w:hAnsi="Arial" w:cs="Arial"/>
          <w:sz w:val="22"/>
          <w:szCs w:val="22"/>
        </w:rPr>
      </w:pPr>
    </w:p>
    <w:p w14:paraId="158125E8" w14:textId="77777777" w:rsidR="00905730" w:rsidRDefault="00905730">
      <w:pPr>
        <w:spacing w:line="276" w:lineRule="auto"/>
        <w:rPr>
          <w:rFonts w:ascii="Arial" w:eastAsia="Arial" w:hAnsi="Arial" w:cs="Arial"/>
          <w:b/>
          <w:sz w:val="22"/>
          <w:szCs w:val="22"/>
        </w:rPr>
      </w:pPr>
    </w:p>
    <w:p w14:paraId="5CD4ABA1" w14:textId="77777777" w:rsidR="00905730" w:rsidRDefault="00905730">
      <w:pPr>
        <w:spacing w:line="276" w:lineRule="auto"/>
        <w:rPr>
          <w:rFonts w:ascii="Arial" w:eastAsia="Arial" w:hAnsi="Arial" w:cs="Arial"/>
          <w:b/>
          <w:sz w:val="22"/>
          <w:szCs w:val="22"/>
        </w:rPr>
      </w:pPr>
    </w:p>
    <w:p w14:paraId="72139833" w14:textId="77777777" w:rsidR="00905730" w:rsidRDefault="00905730">
      <w:pPr>
        <w:spacing w:line="276" w:lineRule="auto"/>
        <w:rPr>
          <w:rFonts w:ascii="Arial" w:eastAsia="Arial" w:hAnsi="Arial" w:cs="Arial"/>
          <w:b/>
          <w:sz w:val="22"/>
          <w:szCs w:val="22"/>
        </w:rPr>
      </w:pPr>
    </w:p>
    <w:p w14:paraId="7BD0B980" w14:textId="65C92EC1" w:rsidR="00572AD5" w:rsidRDefault="00000000">
      <w:pPr>
        <w:spacing w:line="276" w:lineRule="auto"/>
        <w:rPr>
          <w:rFonts w:ascii="Arial" w:eastAsia="Arial" w:hAnsi="Arial" w:cs="Arial"/>
          <w:b/>
          <w:sz w:val="22"/>
          <w:szCs w:val="22"/>
        </w:rPr>
      </w:pPr>
      <w:r>
        <w:rPr>
          <w:rFonts w:ascii="Arial" w:eastAsia="Arial" w:hAnsi="Arial" w:cs="Arial"/>
          <w:b/>
          <w:sz w:val="22"/>
          <w:szCs w:val="22"/>
        </w:rPr>
        <w:lastRenderedPageBreak/>
        <w:t>Sector terciario o sector de servicios.</w:t>
      </w:r>
    </w:p>
    <w:p w14:paraId="116951F3" w14:textId="77777777" w:rsidR="00572AD5" w:rsidRDefault="00572AD5">
      <w:pPr>
        <w:spacing w:line="276" w:lineRule="auto"/>
        <w:rPr>
          <w:rFonts w:ascii="Arial" w:eastAsia="Arial" w:hAnsi="Arial" w:cs="Arial"/>
          <w:b/>
          <w:sz w:val="22"/>
          <w:szCs w:val="22"/>
        </w:rPr>
      </w:pPr>
    </w:p>
    <w:p w14:paraId="107980D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este sector se agrupan todas aquellas actividades que no producen un bien material en sí, pero que son necesarias para el funcionamiento de la economía como ejemplo de ello tenemos el comercio, restaurantes, - hoteles, transporte, servicios financieros, comunicaciones, servicios de educación, servicios profesionales, etc. construye la formación del PIB.</w:t>
      </w:r>
    </w:p>
    <w:p w14:paraId="205170DC" w14:textId="77777777" w:rsidR="00572AD5" w:rsidRDefault="00572AD5">
      <w:pPr>
        <w:spacing w:line="276" w:lineRule="auto"/>
        <w:rPr>
          <w:rFonts w:ascii="Arial" w:eastAsia="Arial" w:hAnsi="Arial" w:cs="Arial"/>
          <w:sz w:val="22"/>
          <w:szCs w:val="22"/>
        </w:rPr>
      </w:pPr>
    </w:p>
    <w:p w14:paraId="6F6361D7"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De estos sectores en Colombia, se derivan actividades económicas independientes y especializadas:</w:t>
      </w:r>
    </w:p>
    <w:p w14:paraId="52AD5E9B" w14:textId="77777777" w:rsidR="00572AD5" w:rsidRDefault="00572AD5">
      <w:pPr>
        <w:spacing w:line="276" w:lineRule="auto"/>
        <w:rPr>
          <w:rFonts w:ascii="Arial" w:eastAsia="Arial" w:hAnsi="Arial" w:cs="Arial"/>
          <w:sz w:val="22"/>
          <w:szCs w:val="22"/>
        </w:rPr>
      </w:pPr>
    </w:p>
    <w:p w14:paraId="6013308E"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1. Sector agropecuario</w:t>
      </w:r>
    </w:p>
    <w:p w14:paraId="5B3AA607"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2. Sector de servicios</w:t>
      </w:r>
    </w:p>
    <w:p w14:paraId="740050B4"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3. Sector industrial</w:t>
      </w:r>
    </w:p>
    <w:p w14:paraId="4B24F463"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4. Sector de transporte</w:t>
      </w:r>
    </w:p>
    <w:p w14:paraId="63C0627D"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5. Sector de comercio</w:t>
      </w:r>
    </w:p>
    <w:p w14:paraId="668F3E28"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6. Sector financiero</w:t>
      </w:r>
    </w:p>
    <w:p w14:paraId="20508230"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7. Sector de la construcción</w:t>
      </w:r>
    </w:p>
    <w:p w14:paraId="4B9F365E"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8. Sector minero y energético</w:t>
      </w:r>
    </w:p>
    <w:p w14:paraId="35F58034"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9. Sector de comunicaciones</w:t>
      </w:r>
    </w:p>
    <w:p w14:paraId="26440C61" w14:textId="77777777" w:rsidR="00572AD5" w:rsidRDefault="00572AD5">
      <w:pPr>
        <w:spacing w:line="276" w:lineRule="auto"/>
        <w:rPr>
          <w:rFonts w:ascii="Arial" w:eastAsia="Arial" w:hAnsi="Arial" w:cs="Arial"/>
          <w:sz w:val="22"/>
          <w:szCs w:val="22"/>
        </w:rPr>
      </w:pPr>
    </w:p>
    <w:p w14:paraId="1B9BB5A4"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ese orden de ideas podemos definir que el objeto contractual de presente proceso pertenece al Sector de la Construcción.</w:t>
      </w:r>
    </w:p>
    <w:p w14:paraId="3F94043C" w14:textId="77777777" w:rsidR="00572AD5" w:rsidRDefault="00572AD5">
      <w:pPr>
        <w:pBdr>
          <w:top w:val="nil"/>
          <w:left w:val="nil"/>
          <w:bottom w:val="nil"/>
          <w:right w:val="nil"/>
          <w:between w:val="nil"/>
        </w:pBdr>
        <w:ind w:left="360"/>
        <w:rPr>
          <w:rFonts w:ascii="Arial" w:eastAsia="Arial" w:hAnsi="Arial" w:cs="Arial"/>
          <w:b/>
        </w:rPr>
      </w:pPr>
    </w:p>
    <w:p w14:paraId="2C73395B" w14:textId="7BDCA335" w:rsidR="00572AD5" w:rsidRPr="00770AE2" w:rsidRDefault="00000000" w:rsidP="00770AE2">
      <w:pPr>
        <w:pStyle w:val="Prrafodelista"/>
        <w:numPr>
          <w:ilvl w:val="1"/>
          <w:numId w:val="55"/>
        </w:numPr>
        <w:pBdr>
          <w:top w:val="nil"/>
          <w:left w:val="nil"/>
          <w:bottom w:val="nil"/>
          <w:right w:val="nil"/>
          <w:between w:val="nil"/>
        </w:pBdr>
        <w:spacing w:after="200" w:line="276" w:lineRule="auto"/>
        <w:rPr>
          <w:rFonts w:ascii="Arial" w:eastAsia="Arial" w:hAnsi="Arial" w:cs="Arial"/>
          <w:color w:val="000000"/>
          <w:sz w:val="22"/>
          <w:szCs w:val="22"/>
        </w:rPr>
      </w:pPr>
      <w:r w:rsidRPr="00770AE2">
        <w:rPr>
          <w:rFonts w:ascii="Arial" w:eastAsia="Arial" w:hAnsi="Arial" w:cs="Arial"/>
          <w:b/>
          <w:color w:val="000000"/>
          <w:sz w:val="22"/>
          <w:szCs w:val="22"/>
        </w:rPr>
        <w:t xml:space="preserve">EL SECTOR </w:t>
      </w:r>
      <w:r w:rsidR="0029507D" w:rsidRPr="00770AE2">
        <w:rPr>
          <w:rFonts w:ascii="Arial" w:eastAsia="Arial" w:hAnsi="Arial" w:cs="Arial"/>
          <w:b/>
          <w:color w:val="000000"/>
          <w:sz w:val="22"/>
          <w:szCs w:val="22"/>
        </w:rPr>
        <w:t>INDUSTRIAL</w:t>
      </w:r>
    </w:p>
    <w:p w14:paraId="753246C3" w14:textId="496452B9" w:rsid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El sector industrial de electrodomésticos y equipos abarca el diseño, fabricación, comercialización y mantenimiento de aparatos destinados al uso doméstico, comercial e industrial.</w:t>
      </w:r>
    </w:p>
    <w:p w14:paraId="413124A7" w14:textId="77777777" w:rsidR="00793D45" w:rsidRDefault="00793D45" w:rsidP="00793D45">
      <w:pPr>
        <w:pBdr>
          <w:top w:val="nil"/>
          <w:left w:val="nil"/>
          <w:bottom w:val="nil"/>
          <w:right w:val="nil"/>
          <w:between w:val="nil"/>
        </w:pBdr>
        <w:jc w:val="both"/>
        <w:rPr>
          <w:rFonts w:ascii="Arial" w:eastAsia="Arial" w:hAnsi="Arial" w:cs="Arial"/>
          <w:color w:val="000000"/>
          <w:sz w:val="22"/>
          <w:szCs w:val="22"/>
        </w:rPr>
      </w:pPr>
    </w:p>
    <w:p w14:paraId="0D095D09" w14:textId="2AB09342" w:rsidR="00770AE2" w:rsidRPr="00793D45" w:rsidRDefault="00770AE2" w:rsidP="00793D45">
      <w:pPr>
        <w:pBdr>
          <w:top w:val="nil"/>
          <w:left w:val="nil"/>
          <w:bottom w:val="nil"/>
          <w:right w:val="nil"/>
          <w:between w:val="nil"/>
        </w:pBdr>
        <w:jc w:val="both"/>
        <w:rPr>
          <w:rFonts w:ascii="Arial" w:eastAsia="Arial" w:hAnsi="Arial" w:cs="Arial"/>
          <w:b/>
          <w:bCs/>
          <w:color w:val="000000"/>
          <w:sz w:val="22"/>
          <w:szCs w:val="22"/>
        </w:rPr>
      </w:pPr>
      <w:r w:rsidRPr="00793D45">
        <w:rPr>
          <w:rFonts w:ascii="Arial" w:eastAsia="Arial" w:hAnsi="Arial" w:cs="Arial"/>
          <w:b/>
          <w:bCs/>
          <w:color w:val="000000"/>
          <w:sz w:val="22"/>
          <w:szCs w:val="22"/>
        </w:rPr>
        <w:t>Descripción general del sector</w:t>
      </w:r>
      <w:r w:rsidR="00793D45" w:rsidRPr="00793D45">
        <w:rPr>
          <w:rFonts w:ascii="Arial" w:eastAsia="Arial" w:hAnsi="Arial" w:cs="Arial"/>
          <w:b/>
          <w:bCs/>
          <w:color w:val="000000"/>
          <w:sz w:val="22"/>
          <w:szCs w:val="22"/>
        </w:rPr>
        <w:t>:</w:t>
      </w:r>
    </w:p>
    <w:p w14:paraId="425C6E7E" w14:textId="50E417B4" w:rsid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El sector de electrodomésticos y equipos incluye:</w:t>
      </w:r>
      <w:r>
        <w:rPr>
          <w:rFonts w:ascii="Arial" w:eastAsia="Arial" w:hAnsi="Arial" w:cs="Arial"/>
          <w:color w:val="000000"/>
          <w:sz w:val="22"/>
          <w:szCs w:val="22"/>
        </w:rPr>
        <w:t xml:space="preserve"> </w:t>
      </w:r>
      <w:r w:rsidRPr="00770AE2">
        <w:rPr>
          <w:rFonts w:ascii="Arial" w:eastAsia="Arial" w:hAnsi="Arial" w:cs="Arial"/>
          <w:color w:val="000000"/>
          <w:sz w:val="22"/>
          <w:szCs w:val="22"/>
        </w:rPr>
        <w:t>Electrodomésticos de línea blanca: neveras, lavadoras, estufas, hornos.</w:t>
      </w:r>
    </w:p>
    <w:p w14:paraId="69631B5F" w14:textId="77777777" w:rsidR="00793D45" w:rsidRPr="00770AE2" w:rsidRDefault="00793D45" w:rsidP="00793D45">
      <w:pPr>
        <w:pBdr>
          <w:top w:val="nil"/>
          <w:left w:val="nil"/>
          <w:bottom w:val="nil"/>
          <w:right w:val="nil"/>
          <w:between w:val="nil"/>
        </w:pBdr>
        <w:jc w:val="both"/>
        <w:rPr>
          <w:rFonts w:ascii="Arial" w:eastAsia="Arial" w:hAnsi="Arial" w:cs="Arial"/>
          <w:color w:val="000000"/>
          <w:sz w:val="22"/>
          <w:szCs w:val="22"/>
        </w:rPr>
      </w:pPr>
    </w:p>
    <w:p w14:paraId="61B8D3E6" w14:textId="59802C90"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Pequeños electrodomésticos: licuadoras, cafeteras, planchas, aspiradoras</w:t>
      </w:r>
      <w:r>
        <w:rPr>
          <w:rFonts w:ascii="Arial" w:eastAsia="Arial" w:hAnsi="Arial" w:cs="Arial"/>
          <w:color w:val="000000"/>
          <w:sz w:val="22"/>
          <w:szCs w:val="22"/>
        </w:rPr>
        <w:t>, e</w:t>
      </w:r>
      <w:r w:rsidRPr="00770AE2">
        <w:rPr>
          <w:rFonts w:ascii="Arial" w:eastAsia="Arial" w:hAnsi="Arial" w:cs="Arial"/>
          <w:color w:val="000000"/>
          <w:sz w:val="22"/>
          <w:szCs w:val="22"/>
        </w:rPr>
        <w:t>quipos electrónicos y de cocina inteligente</w:t>
      </w:r>
      <w:r>
        <w:rPr>
          <w:rFonts w:ascii="Arial" w:eastAsia="Arial" w:hAnsi="Arial" w:cs="Arial"/>
          <w:color w:val="000000"/>
          <w:sz w:val="22"/>
          <w:szCs w:val="22"/>
        </w:rPr>
        <w:t>, c</w:t>
      </w:r>
      <w:r w:rsidRPr="00770AE2">
        <w:rPr>
          <w:rFonts w:ascii="Arial" w:eastAsia="Arial" w:hAnsi="Arial" w:cs="Arial"/>
          <w:color w:val="000000"/>
          <w:sz w:val="22"/>
          <w:szCs w:val="22"/>
        </w:rPr>
        <w:t>omponentes y repuestos: motores, placas electrónicas, sensores.</w:t>
      </w:r>
    </w:p>
    <w:p w14:paraId="0BEB31B8" w14:textId="77777777" w:rsidR="00793D45" w:rsidRDefault="00793D45" w:rsidP="00793D45">
      <w:pPr>
        <w:pBdr>
          <w:top w:val="nil"/>
          <w:left w:val="nil"/>
          <w:bottom w:val="nil"/>
          <w:right w:val="nil"/>
          <w:between w:val="nil"/>
        </w:pBdr>
        <w:jc w:val="both"/>
        <w:rPr>
          <w:rFonts w:ascii="Arial" w:eastAsia="Arial" w:hAnsi="Arial" w:cs="Arial"/>
          <w:color w:val="000000"/>
          <w:sz w:val="22"/>
          <w:szCs w:val="22"/>
        </w:rPr>
      </w:pPr>
    </w:p>
    <w:p w14:paraId="1EB52FA8" w14:textId="1A1DFFCE"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Este sector es parte de la industria manufacturera de bienes durables, con un alto grado de integración tecnológica y demanda constante por parte de hogares y empresas.</w:t>
      </w:r>
    </w:p>
    <w:p w14:paraId="27F1F8E7"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08E68A97" w14:textId="11952766"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Tamaño del mercado y actores clave</w:t>
      </w:r>
      <w:r w:rsidR="00F846B3" w:rsidRPr="00F846B3">
        <w:rPr>
          <w:rFonts w:ascii="Arial" w:eastAsia="Arial" w:hAnsi="Arial" w:cs="Arial"/>
          <w:b/>
          <w:bCs/>
          <w:color w:val="000000"/>
          <w:sz w:val="22"/>
          <w:szCs w:val="22"/>
        </w:rPr>
        <w:t>:</w:t>
      </w:r>
    </w:p>
    <w:p w14:paraId="5451FC66" w14:textId="2007C4AD" w:rsid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lastRenderedPageBreak/>
        <w:t>Mercado global: Dominado por gigantes como Whirlpool, LG, Samsung, Electrolux, Bosch, Midea.</w:t>
      </w:r>
      <w:r w:rsidR="00F846B3">
        <w:rPr>
          <w:rFonts w:ascii="Arial" w:eastAsia="Arial" w:hAnsi="Arial" w:cs="Arial"/>
          <w:color w:val="000000"/>
          <w:sz w:val="22"/>
          <w:szCs w:val="22"/>
        </w:rPr>
        <w:t xml:space="preserve"> </w:t>
      </w:r>
      <w:r w:rsidRPr="00770AE2">
        <w:rPr>
          <w:rFonts w:ascii="Arial" w:eastAsia="Arial" w:hAnsi="Arial" w:cs="Arial"/>
          <w:color w:val="000000"/>
          <w:sz w:val="22"/>
          <w:szCs w:val="22"/>
        </w:rPr>
        <w:t>En América Latina y Colombia, hay presencia de marcas internacionales, ensambladoras locales y marcas propias del retail (Falabella, Éxito, etc.).</w:t>
      </w:r>
    </w:p>
    <w:p w14:paraId="545D46EA" w14:textId="77777777" w:rsidR="00F846B3" w:rsidRPr="00770AE2" w:rsidRDefault="00F846B3" w:rsidP="00793D45">
      <w:pPr>
        <w:pBdr>
          <w:top w:val="nil"/>
          <w:left w:val="nil"/>
          <w:bottom w:val="nil"/>
          <w:right w:val="nil"/>
          <w:between w:val="nil"/>
        </w:pBdr>
        <w:jc w:val="both"/>
        <w:rPr>
          <w:rFonts w:ascii="Arial" w:eastAsia="Arial" w:hAnsi="Arial" w:cs="Arial"/>
          <w:color w:val="000000"/>
          <w:sz w:val="22"/>
          <w:szCs w:val="22"/>
        </w:rPr>
      </w:pPr>
    </w:p>
    <w:p w14:paraId="60AD7B0F"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Segmento en crecimiento: electrodomésticos inteligentes y energéticamente eficientes.</w:t>
      </w:r>
    </w:p>
    <w:p w14:paraId="7A56E788"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72FD3A9F" w14:textId="130F7762"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Tendencias actuales:</w:t>
      </w:r>
    </w:p>
    <w:p w14:paraId="6E0A19AE" w14:textId="14881CA7" w:rsidR="00F846B3" w:rsidRPr="00F846B3" w:rsidRDefault="00770AE2" w:rsidP="00F846B3">
      <w:pPr>
        <w:pStyle w:val="Prrafodelista"/>
        <w:numPr>
          <w:ilvl w:val="0"/>
          <w:numId w:val="56"/>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Digitalización y domótica: auge de electrodomésticos conectados a redes Wi-Fi, controlados por apps o asistentes virtuales (IoT).</w:t>
      </w:r>
    </w:p>
    <w:p w14:paraId="6B3847D1" w14:textId="77777777" w:rsidR="00770AE2" w:rsidRPr="00F846B3" w:rsidRDefault="00770AE2" w:rsidP="00F846B3">
      <w:pPr>
        <w:pStyle w:val="Prrafodelista"/>
        <w:numPr>
          <w:ilvl w:val="0"/>
          <w:numId w:val="56"/>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Eficiencia energética y sostenibilidad: la regulación ambiental impulsa diseños más limpios y reciclables.</w:t>
      </w:r>
    </w:p>
    <w:p w14:paraId="35C0EBF0" w14:textId="77777777" w:rsidR="00770AE2" w:rsidRPr="00F846B3" w:rsidRDefault="00770AE2" w:rsidP="00F846B3">
      <w:pPr>
        <w:pStyle w:val="Prrafodelista"/>
        <w:numPr>
          <w:ilvl w:val="0"/>
          <w:numId w:val="56"/>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Personalización del producto: colores, funciones, tamaño adaptado a espacios urbanos.</w:t>
      </w:r>
    </w:p>
    <w:p w14:paraId="2C11A74B" w14:textId="1B876F2E" w:rsidR="00770AE2" w:rsidRPr="00F846B3" w:rsidRDefault="00770AE2" w:rsidP="00F846B3">
      <w:pPr>
        <w:pStyle w:val="Prrafodelista"/>
        <w:numPr>
          <w:ilvl w:val="0"/>
          <w:numId w:val="56"/>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Canales de venta en transformación: auge del e-commerce y marketplaces como Amazon, Mercado Libre.</w:t>
      </w:r>
    </w:p>
    <w:p w14:paraId="3C4BAA69"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3DD54088" w14:textId="6980817A"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b/>
          <w:bCs/>
          <w:color w:val="000000"/>
          <w:sz w:val="22"/>
          <w:szCs w:val="22"/>
        </w:rPr>
        <w:t>Factores productivos y tecnológicos</w:t>
      </w:r>
      <w:r>
        <w:rPr>
          <w:rFonts w:ascii="Arial" w:eastAsia="Arial" w:hAnsi="Arial" w:cs="Arial"/>
          <w:color w:val="000000"/>
          <w:sz w:val="22"/>
          <w:szCs w:val="22"/>
        </w:rPr>
        <w:t>:</w:t>
      </w:r>
    </w:p>
    <w:p w14:paraId="0483E295" w14:textId="77777777" w:rsidR="00770AE2" w:rsidRPr="00F846B3" w:rsidRDefault="00770AE2" w:rsidP="00F846B3">
      <w:pPr>
        <w:pStyle w:val="Prrafodelista"/>
        <w:numPr>
          <w:ilvl w:val="0"/>
          <w:numId w:val="57"/>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Automatización industrial: uso de robots, sensores y software de control en las líneas de producción.</w:t>
      </w:r>
    </w:p>
    <w:p w14:paraId="182DCC68" w14:textId="77777777" w:rsidR="00770AE2" w:rsidRPr="00F846B3" w:rsidRDefault="00770AE2" w:rsidP="00F846B3">
      <w:pPr>
        <w:pStyle w:val="Prrafodelista"/>
        <w:numPr>
          <w:ilvl w:val="0"/>
          <w:numId w:val="57"/>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Innovación en materiales: uso de acero inoxidable, plásticos reciclables, cerámicas inteligentes.</w:t>
      </w:r>
    </w:p>
    <w:p w14:paraId="0CBBAB97" w14:textId="5E6D0A37" w:rsidR="00770AE2" w:rsidRPr="00F846B3" w:rsidRDefault="00770AE2" w:rsidP="00F846B3">
      <w:pPr>
        <w:pStyle w:val="Prrafodelista"/>
        <w:numPr>
          <w:ilvl w:val="0"/>
          <w:numId w:val="57"/>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Dependencia de insumos importados: chips, motores eléctricos, acero laminado.</w:t>
      </w:r>
    </w:p>
    <w:p w14:paraId="16B26F96"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566F9C04" w14:textId="4D78F410"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Desafíos del sector:</w:t>
      </w:r>
    </w:p>
    <w:p w14:paraId="0FB93FBF" w14:textId="77777777" w:rsidR="00770AE2" w:rsidRPr="00F846B3" w:rsidRDefault="00770AE2" w:rsidP="00F846B3">
      <w:pPr>
        <w:pStyle w:val="Prrafodelista"/>
        <w:numPr>
          <w:ilvl w:val="0"/>
          <w:numId w:val="58"/>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Altos costos logísticos y de insumos (especialmente post-pandemia y por conflictos geopolíticos).</w:t>
      </w:r>
    </w:p>
    <w:p w14:paraId="54C36590" w14:textId="77777777" w:rsidR="00770AE2" w:rsidRPr="00F846B3" w:rsidRDefault="00770AE2" w:rsidP="00F846B3">
      <w:pPr>
        <w:pStyle w:val="Prrafodelista"/>
        <w:numPr>
          <w:ilvl w:val="0"/>
          <w:numId w:val="58"/>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Obsolescencia programada y presión regulatoria para extender la vida útil.</w:t>
      </w:r>
    </w:p>
    <w:p w14:paraId="54A0F7D7" w14:textId="77777777" w:rsidR="00770AE2" w:rsidRPr="00F846B3" w:rsidRDefault="00770AE2" w:rsidP="00F846B3">
      <w:pPr>
        <w:pStyle w:val="Prrafodelista"/>
        <w:numPr>
          <w:ilvl w:val="0"/>
          <w:numId w:val="58"/>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Competencia asiática: productos de bajo costo, pero a veces de menor calidad.</w:t>
      </w:r>
    </w:p>
    <w:p w14:paraId="66FD2323" w14:textId="1719D22E" w:rsidR="00770AE2" w:rsidRPr="00F846B3" w:rsidRDefault="00770AE2" w:rsidP="00F846B3">
      <w:pPr>
        <w:pStyle w:val="Prrafodelista"/>
        <w:numPr>
          <w:ilvl w:val="0"/>
          <w:numId w:val="58"/>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Cambio en los hábitos de consumo: preferencia por productos compactos, multifuncionales y sostenibles.</w:t>
      </w:r>
    </w:p>
    <w:p w14:paraId="1839ED27"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014BB92E" w14:textId="75A1C21E"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Situación en Colombia (ejemplo regional):</w:t>
      </w:r>
    </w:p>
    <w:p w14:paraId="4FFB738B" w14:textId="4EF18CBD"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La producción local es limitada y se concentra en ensamblaje y distribución.</w:t>
      </w:r>
      <w:r w:rsidR="00F846B3">
        <w:rPr>
          <w:rFonts w:ascii="Arial" w:eastAsia="Arial" w:hAnsi="Arial" w:cs="Arial"/>
          <w:color w:val="000000"/>
          <w:sz w:val="22"/>
          <w:szCs w:val="22"/>
        </w:rPr>
        <w:t xml:space="preserve"> </w:t>
      </w:r>
      <w:r w:rsidRPr="00770AE2">
        <w:rPr>
          <w:rFonts w:ascii="Arial" w:eastAsia="Arial" w:hAnsi="Arial" w:cs="Arial"/>
          <w:color w:val="000000"/>
          <w:sz w:val="22"/>
          <w:szCs w:val="22"/>
        </w:rPr>
        <w:t>Empresas como Haceb, Challenger y Mabe son relevantes en el mercado nacional.</w:t>
      </w:r>
      <w:r w:rsidR="00F846B3">
        <w:rPr>
          <w:rFonts w:ascii="Arial" w:eastAsia="Arial" w:hAnsi="Arial" w:cs="Arial"/>
          <w:color w:val="000000"/>
          <w:sz w:val="22"/>
          <w:szCs w:val="22"/>
        </w:rPr>
        <w:t xml:space="preserve"> </w:t>
      </w:r>
      <w:r w:rsidRPr="00770AE2">
        <w:rPr>
          <w:rFonts w:ascii="Arial" w:eastAsia="Arial" w:hAnsi="Arial" w:cs="Arial"/>
          <w:color w:val="000000"/>
          <w:sz w:val="22"/>
          <w:szCs w:val="22"/>
        </w:rPr>
        <w:t>Se observan inversiones en:</w:t>
      </w:r>
    </w:p>
    <w:p w14:paraId="7C8C8571"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290A19F7" w14:textId="17CC9BAD" w:rsidR="00770AE2" w:rsidRPr="00F846B3" w:rsidRDefault="00770AE2" w:rsidP="009B1373">
      <w:pPr>
        <w:pStyle w:val="Prrafodelista"/>
        <w:numPr>
          <w:ilvl w:val="0"/>
          <w:numId w:val="59"/>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Energía renovable para la producción.</w:t>
      </w:r>
    </w:p>
    <w:p w14:paraId="3750FE22" w14:textId="51924F6B" w:rsidR="00770AE2" w:rsidRPr="00F846B3" w:rsidRDefault="00770AE2" w:rsidP="001B143C">
      <w:pPr>
        <w:pStyle w:val="Prrafodelista"/>
        <w:numPr>
          <w:ilvl w:val="0"/>
          <w:numId w:val="59"/>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Alianzas con plataformas digitales.</w:t>
      </w:r>
    </w:p>
    <w:p w14:paraId="39323EB6" w14:textId="77777777" w:rsidR="00770AE2" w:rsidRPr="00F846B3" w:rsidRDefault="00770AE2" w:rsidP="00F846B3">
      <w:pPr>
        <w:pStyle w:val="Prrafodelista"/>
        <w:numPr>
          <w:ilvl w:val="0"/>
          <w:numId w:val="59"/>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Ampliación de servicios posventa.</w:t>
      </w:r>
    </w:p>
    <w:p w14:paraId="579C9638"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2D3BD4D6" w14:textId="2C1159CC"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Perspectivas del sector:</w:t>
      </w:r>
    </w:p>
    <w:p w14:paraId="32B4280D" w14:textId="77777777" w:rsidR="00F846B3" w:rsidRPr="00F846B3" w:rsidRDefault="00770AE2" w:rsidP="00F846B3">
      <w:pPr>
        <w:pStyle w:val="Prrafodelista"/>
        <w:numPr>
          <w:ilvl w:val="0"/>
          <w:numId w:val="60"/>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Crecimiento proyectado: entre 3% y 5% anual globalmente hasta 2030.</w:t>
      </w:r>
      <w:r w:rsidR="00F846B3" w:rsidRPr="00F846B3">
        <w:rPr>
          <w:rFonts w:ascii="Arial" w:eastAsia="Arial" w:hAnsi="Arial" w:cs="Arial"/>
          <w:color w:val="000000"/>
          <w:sz w:val="22"/>
          <w:szCs w:val="22"/>
        </w:rPr>
        <w:t xml:space="preserve"> </w:t>
      </w:r>
    </w:p>
    <w:p w14:paraId="48D7803A" w14:textId="77777777" w:rsidR="00F846B3" w:rsidRPr="00F846B3" w:rsidRDefault="00770AE2" w:rsidP="00F846B3">
      <w:pPr>
        <w:pStyle w:val="Prrafodelista"/>
        <w:numPr>
          <w:ilvl w:val="0"/>
          <w:numId w:val="60"/>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Impulso por la demanda de hogares en expansión y renovación tecnológica.</w:t>
      </w:r>
      <w:r w:rsidR="00F846B3" w:rsidRPr="00F846B3">
        <w:rPr>
          <w:rFonts w:ascii="Arial" w:eastAsia="Arial" w:hAnsi="Arial" w:cs="Arial"/>
          <w:color w:val="000000"/>
          <w:sz w:val="22"/>
          <w:szCs w:val="22"/>
        </w:rPr>
        <w:t xml:space="preserve"> </w:t>
      </w:r>
    </w:p>
    <w:p w14:paraId="101982A8" w14:textId="447147AD" w:rsidR="00770AE2" w:rsidRPr="00F846B3" w:rsidRDefault="00770AE2" w:rsidP="00F846B3">
      <w:pPr>
        <w:pStyle w:val="Prrafodelista"/>
        <w:numPr>
          <w:ilvl w:val="0"/>
          <w:numId w:val="60"/>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Oportunidades en economía circular, especialmente en recolección, reparación y reciclaje.</w:t>
      </w:r>
    </w:p>
    <w:p w14:paraId="1362C2CC" w14:textId="49F9D2D1" w:rsidR="00770AE2" w:rsidRPr="00F846B3" w:rsidRDefault="00770AE2" w:rsidP="00F846B3">
      <w:pPr>
        <w:pStyle w:val="Prrafodelista"/>
        <w:numPr>
          <w:ilvl w:val="0"/>
          <w:numId w:val="60"/>
        </w:numPr>
        <w:pBdr>
          <w:top w:val="nil"/>
          <w:left w:val="nil"/>
          <w:bottom w:val="nil"/>
          <w:right w:val="nil"/>
          <w:between w:val="nil"/>
        </w:pBdr>
        <w:jc w:val="both"/>
        <w:rPr>
          <w:rFonts w:ascii="Arial" w:eastAsia="Arial" w:hAnsi="Arial" w:cs="Arial"/>
          <w:color w:val="000000"/>
          <w:sz w:val="22"/>
          <w:szCs w:val="22"/>
        </w:rPr>
      </w:pPr>
      <w:r w:rsidRPr="00F846B3">
        <w:rPr>
          <w:rFonts w:ascii="Arial" w:eastAsia="Arial" w:hAnsi="Arial" w:cs="Arial"/>
          <w:color w:val="000000"/>
          <w:sz w:val="22"/>
          <w:szCs w:val="22"/>
        </w:rPr>
        <w:t>Mercado latinoamericano con potencial de crecimiento debido a urbanización, crédito al consumo y aumento del e-commerce.</w:t>
      </w:r>
    </w:p>
    <w:p w14:paraId="4ED7C6ED"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46F7627D" w14:textId="7EC3FA07" w:rsidR="00770AE2" w:rsidRPr="00F846B3" w:rsidRDefault="00770AE2" w:rsidP="00793D45">
      <w:pPr>
        <w:pBdr>
          <w:top w:val="nil"/>
          <w:left w:val="nil"/>
          <w:bottom w:val="nil"/>
          <w:right w:val="nil"/>
          <w:between w:val="nil"/>
        </w:pBdr>
        <w:jc w:val="both"/>
        <w:rPr>
          <w:rFonts w:ascii="Arial" w:eastAsia="Arial" w:hAnsi="Arial" w:cs="Arial"/>
          <w:b/>
          <w:bCs/>
          <w:color w:val="000000"/>
          <w:sz w:val="22"/>
          <w:szCs w:val="22"/>
        </w:rPr>
      </w:pPr>
      <w:r w:rsidRPr="00F846B3">
        <w:rPr>
          <w:rFonts w:ascii="Arial" w:eastAsia="Arial" w:hAnsi="Arial" w:cs="Arial"/>
          <w:b/>
          <w:bCs/>
          <w:color w:val="000000"/>
          <w:sz w:val="22"/>
          <w:szCs w:val="22"/>
        </w:rPr>
        <w:t>Conclusión:</w:t>
      </w:r>
    </w:p>
    <w:p w14:paraId="1B8A40EF" w14:textId="77777777" w:rsidR="00770AE2" w:rsidRPr="00770AE2" w:rsidRDefault="00770AE2" w:rsidP="00793D45">
      <w:pPr>
        <w:pBdr>
          <w:top w:val="nil"/>
          <w:left w:val="nil"/>
          <w:bottom w:val="nil"/>
          <w:right w:val="nil"/>
          <w:between w:val="nil"/>
        </w:pBdr>
        <w:jc w:val="both"/>
        <w:rPr>
          <w:rFonts w:ascii="Arial" w:eastAsia="Arial" w:hAnsi="Arial" w:cs="Arial"/>
          <w:color w:val="000000"/>
          <w:sz w:val="22"/>
          <w:szCs w:val="22"/>
        </w:rPr>
      </w:pPr>
      <w:r w:rsidRPr="00770AE2">
        <w:rPr>
          <w:rFonts w:ascii="Arial" w:eastAsia="Arial" w:hAnsi="Arial" w:cs="Arial"/>
          <w:color w:val="000000"/>
          <w:sz w:val="22"/>
          <w:szCs w:val="22"/>
        </w:rPr>
        <w:t>El sector de electrodomésticos y equipos es altamente dinámico, competitivo y tecnológicamente sofisticado. Aunque enfrenta desafíos estructurales como los costos de insumos y la competencia global, presenta grandes oportunidades en sostenibilidad, digitalización y nuevas formas de consumo.</w:t>
      </w:r>
    </w:p>
    <w:p w14:paraId="5ADE5EB2" w14:textId="77777777" w:rsidR="00770AE2" w:rsidRDefault="00770AE2" w:rsidP="00793D45">
      <w:pPr>
        <w:pBdr>
          <w:top w:val="nil"/>
          <w:left w:val="nil"/>
          <w:bottom w:val="nil"/>
          <w:right w:val="nil"/>
          <w:between w:val="nil"/>
        </w:pBdr>
        <w:jc w:val="both"/>
        <w:rPr>
          <w:rFonts w:ascii="Arial" w:eastAsia="Arial" w:hAnsi="Arial" w:cs="Arial"/>
          <w:color w:val="000000"/>
          <w:sz w:val="22"/>
          <w:szCs w:val="22"/>
        </w:rPr>
      </w:pPr>
    </w:p>
    <w:p w14:paraId="59FE11CC" w14:textId="77777777" w:rsidR="002C6D1E" w:rsidRDefault="002C6D1E" w:rsidP="002C6D1E">
      <w:pPr>
        <w:pBdr>
          <w:top w:val="nil"/>
          <w:left w:val="nil"/>
          <w:bottom w:val="nil"/>
          <w:right w:val="nil"/>
          <w:between w:val="nil"/>
        </w:pBdr>
        <w:jc w:val="both"/>
        <w:rPr>
          <w:rFonts w:ascii="Arial" w:eastAsia="Arial" w:hAnsi="Arial" w:cs="Arial"/>
          <w:b/>
          <w:color w:val="000000"/>
          <w:sz w:val="22"/>
          <w:szCs w:val="22"/>
        </w:rPr>
      </w:pPr>
    </w:p>
    <w:p w14:paraId="05394128" w14:textId="0470022D" w:rsidR="00572AD5" w:rsidRPr="002C6D1E" w:rsidRDefault="00000000" w:rsidP="002C6D1E">
      <w:pPr>
        <w:pStyle w:val="Prrafodelista"/>
        <w:numPr>
          <w:ilvl w:val="0"/>
          <w:numId w:val="27"/>
        </w:numPr>
        <w:pBdr>
          <w:top w:val="nil"/>
          <w:left w:val="nil"/>
          <w:bottom w:val="nil"/>
          <w:right w:val="nil"/>
          <w:between w:val="nil"/>
        </w:pBdr>
        <w:jc w:val="both"/>
        <w:rPr>
          <w:rFonts w:ascii="Arial" w:eastAsia="Arial" w:hAnsi="Arial" w:cs="Arial"/>
          <w:b/>
          <w:color w:val="000000"/>
          <w:sz w:val="22"/>
          <w:szCs w:val="22"/>
        </w:rPr>
      </w:pPr>
      <w:r w:rsidRPr="002C6D1E">
        <w:rPr>
          <w:rFonts w:ascii="Arial" w:eastAsia="Arial" w:hAnsi="Arial" w:cs="Arial"/>
          <w:b/>
          <w:color w:val="000000"/>
          <w:sz w:val="22"/>
          <w:szCs w:val="22"/>
        </w:rPr>
        <w:t>ASPECTOS GENERALES DEL MERCADO</w:t>
      </w:r>
    </w:p>
    <w:p w14:paraId="0085505C"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15688F13" w14:textId="2A055160" w:rsidR="00572AD5" w:rsidRPr="002C6D1E" w:rsidRDefault="00000000" w:rsidP="002C6D1E">
      <w:pPr>
        <w:pStyle w:val="Prrafodelista"/>
        <w:numPr>
          <w:ilvl w:val="1"/>
          <w:numId w:val="61"/>
        </w:numPr>
        <w:pBdr>
          <w:top w:val="nil"/>
          <w:left w:val="nil"/>
          <w:bottom w:val="nil"/>
          <w:right w:val="nil"/>
          <w:between w:val="nil"/>
        </w:pBdr>
        <w:rPr>
          <w:rFonts w:ascii="Arial" w:eastAsia="Arial" w:hAnsi="Arial" w:cs="Arial"/>
          <w:color w:val="000000"/>
          <w:sz w:val="22"/>
          <w:szCs w:val="22"/>
        </w:rPr>
      </w:pPr>
      <w:r w:rsidRPr="002C6D1E">
        <w:rPr>
          <w:rFonts w:ascii="Arial" w:eastAsia="Arial" w:hAnsi="Arial" w:cs="Arial"/>
          <w:b/>
          <w:color w:val="000000"/>
          <w:sz w:val="22"/>
          <w:szCs w:val="22"/>
        </w:rPr>
        <w:t>INDICADORES ECONÓMICOS</w:t>
      </w:r>
    </w:p>
    <w:p w14:paraId="6745817A" w14:textId="77777777" w:rsidR="00572AD5" w:rsidRDefault="00572AD5">
      <w:pPr>
        <w:pBdr>
          <w:top w:val="nil"/>
          <w:left w:val="nil"/>
          <w:bottom w:val="nil"/>
          <w:right w:val="nil"/>
          <w:between w:val="nil"/>
        </w:pBdr>
        <w:rPr>
          <w:rFonts w:ascii="Arial" w:eastAsia="Arial" w:hAnsi="Arial" w:cs="Arial"/>
          <w:b/>
          <w:color w:val="000000"/>
          <w:sz w:val="22"/>
          <w:szCs w:val="22"/>
        </w:rPr>
      </w:pPr>
    </w:p>
    <w:p w14:paraId="708505CA" w14:textId="77777777" w:rsidR="00572AD5" w:rsidRDefault="00000000">
      <w:pPr>
        <w:jc w:val="both"/>
        <w:rPr>
          <w:rFonts w:ascii="Arial" w:eastAsia="Arial" w:hAnsi="Arial" w:cs="Arial"/>
          <w:sz w:val="22"/>
          <w:szCs w:val="22"/>
        </w:rPr>
      </w:pPr>
      <w:r>
        <w:rPr>
          <w:rFonts w:ascii="Arial" w:eastAsia="Arial" w:hAnsi="Arial" w:cs="Arial"/>
          <w:sz w:val="22"/>
          <w:szCs w:val="22"/>
        </w:rPr>
        <w:t>En el cuarto trimestre de 2024, el valor agregado de la construcción crece 0,5% en su serie original, respecto al mismo periodo de 2023. Esta dinámica se explica por los siguientes comportamientos (ver tabla 6):</w:t>
      </w:r>
    </w:p>
    <w:p w14:paraId="3A3BFE16" w14:textId="77777777" w:rsidR="00572AD5" w:rsidRDefault="00572AD5">
      <w:pPr>
        <w:spacing w:line="276" w:lineRule="auto"/>
        <w:jc w:val="both"/>
        <w:rPr>
          <w:rFonts w:ascii="Arial" w:eastAsia="Arial" w:hAnsi="Arial" w:cs="Arial"/>
          <w:sz w:val="22"/>
          <w:szCs w:val="22"/>
        </w:rPr>
      </w:pPr>
    </w:p>
    <w:p w14:paraId="2A8F5475" w14:textId="77777777" w:rsidR="00572AD5" w:rsidRDefault="00000000">
      <w:pPr>
        <w:numPr>
          <w:ilvl w:val="0"/>
          <w:numId w:val="2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Construcción de edificaciones residenciales y no residenciales decrece 3,1%.</w:t>
      </w:r>
    </w:p>
    <w:p w14:paraId="57A7C466" w14:textId="77777777" w:rsidR="00572AD5" w:rsidRDefault="00000000">
      <w:pPr>
        <w:numPr>
          <w:ilvl w:val="0"/>
          <w:numId w:val="2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Construcción de carreteras y vías de ferrocarril, de proyectos de servicio público y de otras obras de ingeniería civil crece 8,6%.</w:t>
      </w:r>
    </w:p>
    <w:p w14:paraId="5A266A39" w14:textId="77777777" w:rsidR="00572AD5" w:rsidRDefault="00000000">
      <w:pPr>
        <w:numPr>
          <w:ilvl w:val="0"/>
          <w:numId w:val="29"/>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Actividades especializadas para la construcción de edificaciones y obras de ingeniería civil (alquiler de maquinaria y equipo de construcción con operadores) decrece 0,7%.</w:t>
      </w:r>
      <w:r>
        <w:rPr>
          <w:noProof/>
        </w:rPr>
        <w:drawing>
          <wp:anchor distT="0" distB="0" distL="114300" distR="114300" simplePos="0" relativeHeight="251662336" behindDoc="0" locked="0" layoutInCell="1" hidden="0" allowOverlap="1" wp14:anchorId="2A111700" wp14:editId="6CAC1ECF">
            <wp:simplePos x="0" y="0"/>
            <wp:positionH relativeFrom="column">
              <wp:posOffset>396240</wp:posOffset>
            </wp:positionH>
            <wp:positionV relativeFrom="paragraph">
              <wp:posOffset>585470</wp:posOffset>
            </wp:positionV>
            <wp:extent cx="4673600" cy="2752725"/>
            <wp:effectExtent l="0" t="0" r="0" b="0"/>
            <wp:wrapSquare wrapText="bothSides" distT="0" distB="0" distL="114300" distR="114300"/>
            <wp:docPr id="2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
                    <a:srcRect l="21598" t="12470" r="21609" b="14678"/>
                    <a:stretch>
                      <a:fillRect/>
                    </a:stretch>
                  </pic:blipFill>
                  <pic:spPr>
                    <a:xfrm>
                      <a:off x="0" y="0"/>
                      <a:ext cx="4673600" cy="2752725"/>
                    </a:xfrm>
                    <a:prstGeom prst="rect">
                      <a:avLst/>
                    </a:prstGeom>
                    <a:ln/>
                  </pic:spPr>
                </pic:pic>
              </a:graphicData>
            </a:graphic>
          </wp:anchor>
        </w:drawing>
      </w:r>
    </w:p>
    <w:p w14:paraId="0EC5FF80" w14:textId="77777777" w:rsidR="00572AD5" w:rsidRDefault="00572AD5">
      <w:pPr>
        <w:spacing w:line="276" w:lineRule="auto"/>
        <w:jc w:val="both"/>
        <w:rPr>
          <w:rFonts w:ascii="Arial" w:eastAsia="Arial" w:hAnsi="Arial" w:cs="Arial"/>
          <w:sz w:val="22"/>
          <w:szCs w:val="22"/>
        </w:rPr>
      </w:pPr>
    </w:p>
    <w:p w14:paraId="5CE78F77" w14:textId="77777777" w:rsidR="00572AD5" w:rsidRDefault="00572AD5">
      <w:pPr>
        <w:spacing w:line="276" w:lineRule="auto"/>
        <w:jc w:val="both"/>
        <w:rPr>
          <w:rFonts w:ascii="Arial" w:eastAsia="Arial" w:hAnsi="Arial" w:cs="Arial"/>
          <w:sz w:val="22"/>
          <w:szCs w:val="22"/>
        </w:rPr>
      </w:pPr>
    </w:p>
    <w:p w14:paraId="3A77AA63" w14:textId="77777777" w:rsidR="00572AD5" w:rsidRDefault="00572AD5">
      <w:pPr>
        <w:spacing w:line="276" w:lineRule="auto"/>
        <w:jc w:val="both"/>
      </w:pPr>
    </w:p>
    <w:p w14:paraId="1BD06FDC" w14:textId="77777777" w:rsidR="00572AD5" w:rsidRDefault="00572AD5">
      <w:pPr>
        <w:spacing w:line="276" w:lineRule="auto"/>
        <w:jc w:val="both"/>
      </w:pPr>
    </w:p>
    <w:p w14:paraId="266000DF" w14:textId="77777777" w:rsidR="00572AD5" w:rsidRDefault="00572AD5">
      <w:pPr>
        <w:spacing w:line="276" w:lineRule="auto"/>
        <w:jc w:val="both"/>
      </w:pPr>
    </w:p>
    <w:p w14:paraId="4C0E3C75" w14:textId="77777777" w:rsidR="00572AD5" w:rsidRDefault="00572AD5">
      <w:pPr>
        <w:spacing w:line="276" w:lineRule="auto"/>
        <w:jc w:val="both"/>
      </w:pPr>
    </w:p>
    <w:p w14:paraId="59323F5A" w14:textId="77777777" w:rsidR="00572AD5" w:rsidRDefault="00572AD5">
      <w:pPr>
        <w:spacing w:line="276" w:lineRule="auto"/>
        <w:jc w:val="both"/>
      </w:pPr>
    </w:p>
    <w:p w14:paraId="77B53A48" w14:textId="77777777" w:rsidR="00572AD5" w:rsidRDefault="00572AD5">
      <w:pPr>
        <w:spacing w:line="276" w:lineRule="auto"/>
        <w:jc w:val="both"/>
      </w:pPr>
    </w:p>
    <w:p w14:paraId="7E89CD25" w14:textId="77777777" w:rsidR="00572AD5" w:rsidRDefault="00572AD5">
      <w:pPr>
        <w:spacing w:line="276" w:lineRule="auto"/>
        <w:jc w:val="both"/>
      </w:pPr>
    </w:p>
    <w:p w14:paraId="0790015A" w14:textId="77777777" w:rsidR="00572AD5" w:rsidRDefault="00572AD5">
      <w:pPr>
        <w:spacing w:line="276" w:lineRule="auto"/>
        <w:jc w:val="both"/>
      </w:pPr>
    </w:p>
    <w:p w14:paraId="3A908561" w14:textId="77777777" w:rsidR="00572AD5" w:rsidRDefault="00572AD5">
      <w:pPr>
        <w:spacing w:line="276" w:lineRule="auto"/>
        <w:jc w:val="both"/>
      </w:pPr>
    </w:p>
    <w:p w14:paraId="5559B01B" w14:textId="77777777" w:rsidR="00572AD5" w:rsidRDefault="00572AD5">
      <w:pPr>
        <w:spacing w:line="276" w:lineRule="auto"/>
        <w:jc w:val="both"/>
      </w:pPr>
    </w:p>
    <w:p w14:paraId="6CC5DBCA" w14:textId="77777777" w:rsidR="00572AD5" w:rsidRDefault="00572AD5">
      <w:pPr>
        <w:spacing w:line="276" w:lineRule="auto"/>
        <w:jc w:val="both"/>
      </w:pPr>
    </w:p>
    <w:p w14:paraId="7D8DC85E" w14:textId="77777777" w:rsidR="00572AD5" w:rsidRDefault="00572AD5">
      <w:pPr>
        <w:spacing w:line="276" w:lineRule="auto"/>
        <w:jc w:val="both"/>
        <w:rPr>
          <w:rFonts w:ascii="Arial" w:eastAsia="Arial" w:hAnsi="Arial" w:cs="Arial"/>
          <w:sz w:val="22"/>
          <w:szCs w:val="22"/>
        </w:rPr>
      </w:pPr>
    </w:p>
    <w:p w14:paraId="434CC53F" w14:textId="77777777" w:rsidR="00572AD5" w:rsidRDefault="00000000">
      <w:pPr>
        <w:spacing w:line="276" w:lineRule="auto"/>
        <w:jc w:val="center"/>
        <w:rPr>
          <w:rFonts w:ascii="Arial" w:eastAsia="Arial" w:hAnsi="Arial" w:cs="Arial"/>
          <w:sz w:val="18"/>
          <w:szCs w:val="18"/>
        </w:rPr>
      </w:pPr>
      <w:r>
        <w:rPr>
          <w:rFonts w:ascii="Arial" w:eastAsia="Arial" w:hAnsi="Arial" w:cs="Arial"/>
          <w:sz w:val="18"/>
          <w:szCs w:val="18"/>
        </w:rPr>
        <w:t>Fuente: DANE</w:t>
      </w:r>
    </w:p>
    <w:p w14:paraId="7337C88B" w14:textId="77777777" w:rsidR="00572AD5" w:rsidRDefault="00572AD5">
      <w:pPr>
        <w:spacing w:line="276" w:lineRule="auto"/>
        <w:jc w:val="both"/>
        <w:rPr>
          <w:rFonts w:ascii="Arial" w:eastAsia="Arial" w:hAnsi="Arial" w:cs="Arial"/>
          <w:sz w:val="22"/>
          <w:szCs w:val="22"/>
        </w:rPr>
      </w:pPr>
    </w:p>
    <w:p w14:paraId="3E15615A" w14:textId="77777777" w:rsidR="00572AD5" w:rsidRDefault="00572AD5">
      <w:pPr>
        <w:spacing w:line="276" w:lineRule="auto"/>
        <w:jc w:val="both"/>
        <w:rPr>
          <w:rFonts w:ascii="Arial" w:eastAsia="Arial" w:hAnsi="Arial" w:cs="Arial"/>
          <w:b/>
          <w:sz w:val="22"/>
          <w:szCs w:val="22"/>
        </w:rPr>
      </w:pPr>
    </w:p>
    <w:p w14:paraId="5544800D" w14:textId="77777777" w:rsidR="00572AD5" w:rsidRDefault="00572AD5">
      <w:pPr>
        <w:spacing w:line="276" w:lineRule="auto"/>
        <w:jc w:val="both"/>
        <w:rPr>
          <w:rFonts w:ascii="Arial" w:eastAsia="Arial" w:hAnsi="Arial" w:cs="Arial"/>
          <w:b/>
          <w:sz w:val="22"/>
          <w:szCs w:val="22"/>
        </w:rPr>
      </w:pPr>
    </w:p>
    <w:p w14:paraId="3FF16211"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Inflación, mercado laboral, déficit fiscal y tendencias sectoriales</w:t>
      </w:r>
    </w:p>
    <w:p w14:paraId="2A4BFCDF" w14:textId="77777777" w:rsidR="00572AD5" w:rsidRDefault="00572AD5">
      <w:pPr>
        <w:spacing w:line="276" w:lineRule="auto"/>
        <w:jc w:val="both"/>
        <w:rPr>
          <w:rFonts w:ascii="Arial" w:eastAsia="Arial" w:hAnsi="Arial" w:cs="Arial"/>
          <w:sz w:val="22"/>
          <w:szCs w:val="22"/>
        </w:rPr>
      </w:pPr>
    </w:p>
    <w:p w14:paraId="4030B08F"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La variación anual de 2024 se situó en 5,22%, una notable reducción frente al 9,28% de 2023. Los sectores que más contribuyeron a esta variación anual fueron el alojamiento y electricidad, con un crecimiento de 6,96% que aportó 2,13 puntos porcentuales. Los restaurantes y hoteles ocuparon el segundo lugar, con una variación de 7,87% y un aporte de 0,85 puntos. En tercer lugar, el transporte tuvo una variación de 5,19%, representando 0,70 puntos. Por su parte, los alimentos y bebidas no alcohólicas registraron un aporte de 0,63 puntos porcentuales con una variación de 3,31%. Otros sectores destacados fueron la educación, con la mayor variación del año (10,62%), y las bebidas alcohólicas y tabaco (5,57%).</w:t>
      </w:r>
    </w:p>
    <w:p w14:paraId="26F2249C" w14:textId="77777777" w:rsidR="00572AD5" w:rsidRDefault="00572AD5">
      <w:pPr>
        <w:spacing w:line="276" w:lineRule="auto"/>
        <w:jc w:val="both"/>
      </w:pPr>
    </w:p>
    <w:p w14:paraId="3273332A"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2226D3CD" wp14:editId="469828D4">
            <wp:extent cx="4839933" cy="2004338"/>
            <wp:effectExtent l="0" t="0" r="0" b="0"/>
            <wp:docPr id="3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9"/>
                    <a:srcRect l="7153" t="21198" r="14286" b="20934"/>
                    <a:stretch>
                      <a:fillRect/>
                    </a:stretch>
                  </pic:blipFill>
                  <pic:spPr>
                    <a:xfrm>
                      <a:off x="0" y="0"/>
                      <a:ext cx="4839933" cy="2004338"/>
                    </a:xfrm>
                    <a:prstGeom prst="rect">
                      <a:avLst/>
                    </a:prstGeom>
                    <a:ln/>
                  </pic:spPr>
                </pic:pic>
              </a:graphicData>
            </a:graphic>
          </wp:inline>
        </w:drawing>
      </w:r>
    </w:p>
    <w:p w14:paraId="087E987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Fuente: DANE</w:t>
      </w:r>
    </w:p>
    <w:p w14:paraId="7BABEEA2" w14:textId="77777777" w:rsidR="00572AD5" w:rsidRDefault="00572AD5">
      <w:pPr>
        <w:spacing w:line="276" w:lineRule="auto"/>
        <w:jc w:val="both"/>
        <w:rPr>
          <w:rFonts w:ascii="Arial" w:eastAsia="Arial" w:hAnsi="Arial" w:cs="Arial"/>
          <w:sz w:val="22"/>
          <w:szCs w:val="22"/>
        </w:rPr>
      </w:pPr>
    </w:p>
    <w:p w14:paraId="0DEEC227"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Indicadores del mercado laboral, mes de diciembre de 2024</w:t>
      </w:r>
    </w:p>
    <w:p w14:paraId="1B9B0B0B"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La Gran Encuesta Integrada de Hogares (GEIH) tiene como objetivo proveer información estadística relacionada con mercado laboral, ingresos y pobreza monetaria, así como de las características sociodemográficas de la población residente en Colombia. A través de la encuesta se clasifica a las personas según su fuerza de trabajo como población ocupada, desocupada o población fuera de la fuerza de trabajo. De esta forma, es posible estimar los principales indicadores del mercado laboral colombiano, como son la Tasa Global de Participación (TGP), la Tasa de Ocupación (TO) y la Tasa de Desocupación (TD).</w:t>
      </w:r>
    </w:p>
    <w:p w14:paraId="2603534E" w14:textId="77777777" w:rsidR="00572AD5" w:rsidRDefault="00572AD5">
      <w:pPr>
        <w:spacing w:line="276" w:lineRule="auto"/>
        <w:jc w:val="both"/>
        <w:rPr>
          <w:rFonts w:ascii="Arial" w:eastAsia="Arial" w:hAnsi="Arial" w:cs="Arial"/>
          <w:sz w:val="22"/>
          <w:szCs w:val="22"/>
        </w:rPr>
      </w:pPr>
    </w:p>
    <w:p w14:paraId="689F948D"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Para el mes de diciembre de 2024, la tasa de desocupación del total nacional fue 9,1%, lo que representó una disminución de 0,9 puntos porcentuales respecto al mismo mes de 2023 (10,0%). La tasa global de participación se ubicó en 64,4%, mientras que en diciembre de 2023 fue 63,8%. Finalmente, la tasa de ocupación fue 58,5%, lo que representó un aumento de 1,1 puntos porcentuales respecto al mismo mes del año anterior (57,4%).</w:t>
      </w:r>
    </w:p>
    <w:p w14:paraId="4D12CE6C" w14:textId="77777777" w:rsidR="00572AD5" w:rsidRDefault="00572AD5">
      <w:pPr>
        <w:spacing w:line="276" w:lineRule="auto"/>
        <w:jc w:val="both"/>
        <w:rPr>
          <w:rFonts w:ascii="Arial" w:eastAsia="Arial" w:hAnsi="Arial" w:cs="Arial"/>
          <w:sz w:val="22"/>
          <w:szCs w:val="22"/>
        </w:rPr>
      </w:pPr>
    </w:p>
    <w:p w14:paraId="6585DFF8" w14:textId="77777777" w:rsidR="00572AD5" w:rsidRDefault="00000000">
      <w:pPr>
        <w:spacing w:line="276" w:lineRule="auto"/>
        <w:jc w:val="both"/>
        <w:rPr>
          <w:rFonts w:ascii="Arial" w:eastAsia="Arial" w:hAnsi="Arial" w:cs="Arial"/>
          <w:sz w:val="22"/>
          <w:szCs w:val="22"/>
        </w:rPr>
      </w:pPr>
      <w:r>
        <w:rPr>
          <w:noProof/>
        </w:rPr>
        <w:lastRenderedPageBreak/>
        <w:drawing>
          <wp:inline distT="0" distB="0" distL="0" distR="0" wp14:anchorId="5663202F" wp14:editId="33D69CBE">
            <wp:extent cx="4825036" cy="2506012"/>
            <wp:effectExtent l="0" t="0" r="0" b="0"/>
            <wp:docPr id="3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l="12337" t="23697" r="10970" b="5452"/>
                    <a:stretch>
                      <a:fillRect/>
                    </a:stretch>
                  </pic:blipFill>
                  <pic:spPr>
                    <a:xfrm>
                      <a:off x="0" y="0"/>
                      <a:ext cx="4825036" cy="2506012"/>
                    </a:xfrm>
                    <a:prstGeom prst="rect">
                      <a:avLst/>
                    </a:prstGeom>
                    <a:ln/>
                  </pic:spPr>
                </pic:pic>
              </a:graphicData>
            </a:graphic>
          </wp:inline>
        </w:drawing>
      </w:r>
    </w:p>
    <w:p w14:paraId="5BEE2C05" w14:textId="77777777" w:rsidR="00572AD5" w:rsidRDefault="00000000">
      <w:pPr>
        <w:spacing w:line="276" w:lineRule="auto"/>
        <w:jc w:val="both"/>
        <w:rPr>
          <w:rFonts w:ascii="Arial" w:eastAsia="Arial" w:hAnsi="Arial" w:cs="Arial"/>
          <w:sz w:val="22"/>
          <w:szCs w:val="22"/>
        </w:rPr>
      </w:pPr>
      <w:r>
        <w:rPr>
          <w:rFonts w:ascii="Arial" w:eastAsia="Arial" w:hAnsi="Arial" w:cs="Arial"/>
          <w:sz w:val="18"/>
          <w:szCs w:val="18"/>
        </w:rPr>
        <w:t>Fuente:</w:t>
      </w:r>
      <w:r>
        <w:rPr>
          <w:rFonts w:ascii="Arial" w:eastAsia="Arial" w:hAnsi="Arial" w:cs="Arial"/>
          <w:sz w:val="22"/>
          <w:szCs w:val="22"/>
        </w:rPr>
        <w:t xml:space="preserve"> </w:t>
      </w:r>
      <w:r>
        <w:rPr>
          <w:rFonts w:ascii="Arial" w:eastAsia="Arial" w:hAnsi="Arial" w:cs="Arial"/>
          <w:sz w:val="18"/>
          <w:szCs w:val="18"/>
        </w:rPr>
        <w:t>DANE</w:t>
      </w:r>
    </w:p>
    <w:p w14:paraId="5B1BB07A" w14:textId="77777777" w:rsidR="00572AD5" w:rsidRDefault="00572AD5">
      <w:pPr>
        <w:spacing w:line="276" w:lineRule="auto"/>
        <w:jc w:val="both"/>
        <w:rPr>
          <w:rFonts w:ascii="Arial" w:eastAsia="Arial" w:hAnsi="Arial" w:cs="Arial"/>
          <w:b/>
          <w:sz w:val="22"/>
          <w:szCs w:val="22"/>
        </w:rPr>
      </w:pPr>
    </w:p>
    <w:p w14:paraId="504E3167"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Población ocupada según rama de actividad, mes diciembre y año 2024:</w:t>
      </w:r>
    </w:p>
    <w:p w14:paraId="62CA2AA3" w14:textId="77777777" w:rsidR="00572AD5" w:rsidRDefault="00572AD5">
      <w:pPr>
        <w:spacing w:line="276" w:lineRule="auto"/>
        <w:jc w:val="both"/>
        <w:rPr>
          <w:rFonts w:ascii="Arial" w:eastAsia="Arial" w:hAnsi="Arial" w:cs="Arial"/>
          <w:b/>
          <w:sz w:val="22"/>
          <w:szCs w:val="22"/>
        </w:rPr>
      </w:pPr>
    </w:p>
    <w:p w14:paraId="00D2907A"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el mes de diciembre de 2024, el número de personas ocupadas en el total nacional fue 23.621 miles de personas. Las ramas que más aportaron positivamente a la variación de la población ocupada fueron Alojamiento y servicios de comida (1,1 puntos porcentuales); Actividades inmobiliarias (0,6 puntos porcentuales) y Comercio y reparación de vehículos (0,6 puntos porcentuales).</w:t>
      </w:r>
    </w:p>
    <w:p w14:paraId="28FD42F5" w14:textId="77777777" w:rsidR="00572AD5" w:rsidRDefault="00572AD5">
      <w:pPr>
        <w:spacing w:line="276" w:lineRule="auto"/>
        <w:jc w:val="both"/>
        <w:rPr>
          <w:sz w:val="16"/>
          <w:szCs w:val="16"/>
        </w:rPr>
      </w:pPr>
    </w:p>
    <w:p w14:paraId="16FE720C"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4B47ED8E" wp14:editId="217133D5">
            <wp:extent cx="5515443" cy="3390331"/>
            <wp:effectExtent l="0" t="0" r="0" b="0"/>
            <wp:docPr id="3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1"/>
                    <a:srcRect l="13463" t="11222" r="15849" b="8216"/>
                    <a:stretch>
                      <a:fillRect/>
                    </a:stretch>
                  </pic:blipFill>
                  <pic:spPr>
                    <a:xfrm>
                      <a:off x="0" y="0"/>
                      <a:ext cx="5515443" cy="3390331"/>
                    </a:xfrm>
                    <a:prstGeom prst="rect">
                      <a:avLst/>
                    </a:prstGeom>
                    <a:ln/>
                  </pic:spPr>
                </pic:pic>
              </a:graphicData>
            </a:graphic>
          </wp:inline>
        </w:drawing>
      </w:r>
    </w:p>
    <w:p w14:paraId="3A69E873"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lastRenderedPageBreak/>
        <w:t>Fuente: DANE</w:t>
      </w:r>
    </w:p>
    <w:p w14:paraId="0C075ACF" w14:textId="77777777" w:rsidR="00572AD5" w:rsidRDefault="00572AD5">
      <w:pPr>
        <w:spacing w:line="276" w:lineRule="auto"/>
        <w:jc w:val="both"/>
        <w:rPr>
          <w:rFonts w:ascii="Arial" w:eastAsia="Arial" w:hAnsi="Arial" w:cs="Arial"/>
          <w:b/>
          <w:sz w:val="22"/>
          <w:szCs w:val="22"/>
        </w:rPr>
      </w:pPr>
    </w:p>
    <w:p w14:paraId="11337CE3"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Pronóstico del precio del petróleo para 2025</w:t>
      </w:r>
    </w:p>
    <w:p w14:paraId="7F4AC117" w14:textId="77777777" w:rsidR="00572AD5" w:rsidRDefault="00572AD5">
      <w:pPr>
        <w:spacing w:line="276" w:lineRule="auto"/>
        <w:jc w:val="both"/>
        <w:rPr>
          <w:rFonts w:ascii="Arial" w:eastAsia="Arial" w:hAnsi="Arial" w:cs="Arial"/>
          <w:b/>
          <w:sz w:val="22"/>
          <w:szCs w:val="22"/>
        </w:rPr>
      </w:pPr>
    </w:p>
    <w:p w14:paraId="71DE8B22"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Un factor importante es la dinámica de la demanda mundial en el contexto del potencial aumento del consumo de energía en los países en desarrollo. Los pronósticos apuntan a un movimiento gradual hacia los niveles de 80-85 dólares por barril, enfatizando una atención especial a las reacciones del mercado a las noticias macroeconómicas y las decisiones de la OPEP. En general, los indicadores técnicos indican un aumento en el precio del petróleo en 2025. Sin embargo, hay que tener en cuenta los niveles clave de soporte y resistencia para determinar los posibles puntos de apertura y cierre de las posiciones. Como una confirmación adicional de la tendencia pueden servir los cambios bruscos en los volúmenes de negociación.</w:t>
      </w:r>
    </w:p>
    <w:p w14:paraId="018C9A41" w14:textId="77777777" w:rsidR="00572AD5" w:rsidRDefault="00572AD5">
      <w:pPr>
        <w:spacing w:line="276" w:lineRule="auto"/>
        <w:jc w:val="both"/>
        <w:rPr>
          <w:rFonts w:ascii="Arial" w:eastAsia="Arial" w:hAnsi="Arial" w:cs="Arial"/>
          <w:b/>
          <w:sz w:val="22"/>
          <w:szCs w:val="22"/>
        </w:rPr>
      </w:pPr>
    </w:p>
    <w:p w14:paraId="0A066FAE" w14:textId="77777777" w:rsidR="00572AD5" w:rsidRDefault="00572AD5">
      <w:pPr>
        <w:spacing w:line="276" w:lineRule="auto"/>
        <w:jc w:val="both"/>
        <w:rPr>
          <w:rFonts w:ascii="Arial" w:eastAsia="Arial" w:hAnsi="Arial" w:cs="Arial"/>
          <w:sz w:val="18"/>
          <w:szCs w:val="18"/>
        </w:rPr>
      </w:pPr>
    </w:p>
    <w:p w14:paraId="33F7254E" w14:textId="77777777" w:rsidR="00572AD5" w:rsidRDefault="00572AD5">
      <w:pPr>
        <w:spacing w:line="276" w:lineRule="auto"/>
        <w:jc w:val="both"/>
        <w:rPr>
          <w:rFonts w:ascii="Arial" w:eastAsia="Arial" w:hAnsi="Arial" w:cs="Arial"/>
          <w:sz w:val="22"/>
          <w:szCs w:val="22"/>
        </w:rPr>
      </w:pPr>
    </w:p>
    <w:p w14:paraId="2B5EDE11"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0EDE44A7" wp14:editId="7FFC7F13">
            <wp:extent cx="4389396" cy="2945823"/>
            <wp:effectExtent l="0" t="0" r="0" b="0"/>
            <wp:docPr id="3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t="16210" r="36485" b="7969"/>
                    <a:stretch>
                      <a:fillRect/>
                    </a:stretch>
                  </pic:blipFill>
                  <pic:spPr>
                    <a:xfrm>
                      <a:off x="0" y="0"/>
                      <a:ext cx="4389396" cy="2945823"/>
                    </a:xfrm>
                    <a:prstGeom prst="rect">
                      <a:avLst/>
                    </a:prstGeom>
                    <a:ln/>
                  </pic:spPr>
                </pic:pic>
              </a:graphicData>
            </a:graphic>
          </wp:inline>
        </w:drawing>
      </w:r>
    </w:p>
    <w:p w14:paraId="717A0143" w14:textId="77777777" w:rsidR="00572AD5" w:rsidRDefault="00572AD5">
      <w:pPr>
        <w:spacing w:line="276" w:lineRule="auto"/>
        <w:jc w:val="both"/>
        <w:rPr>
          <w:rFonts w:ascii="Arial" w:eastAsia="Arial" w:hAnsi="Arial" w:cs="Arial"/>
          <w:sz w:val="22"/>
          <w:szCs w:val="22"/>
          <w:highlight w:val="yellow"/>
        </w:rPr>
      </w:pPr>
    </w:p>
    <w:p w14:paraId="708F49A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cuanto al cumplimiento de la </w:t>
      </w:r>
      <w:r>
        <w:rPr>
          <w:rFonts w:ascii="Arial" w:eastAsia="Arial" w:hAnsi="Arial" w:cs="Arial"/>
          <w:b/>
          <w:sz w:val="22"/>
          <w:szCs w:val="22"/>
        </w:rPr>
        <w:t>Regla Fiscal</w:t>
      </w:r>
      <w:r>
        <w:rPr>
          <w:rFonts w:ascii="Arial" w:eastAsia="Arial" w:hAnsi="Arial" w:cs="Arial"/>
          <w:sz w:val="22"/>
          <w:szCs w:val="22"/>
        </w:rPr>
        <w:t xml:space="preserve">, el Comité Autónomo de la Regla Fiscal (CARF) advirtió que, para cumplir con la regla fiscal en 2025, el Gobierno de Gustavo Petro deberá realizar ajustes en ingresos o gastos por al menos 46 billones de pesos, equivalentes al 2,6 % del PIB. Este llamado surge luego de que en 2024 el cumplimiento de la norma dependiera de transacciones extraordinarias, conocidas como Transacciones de Única Vez (TUV), aprobadas por el Consejo Superior de Política Fiscal (CONFIS). Según el CARF, el déficit fiscal de 2024 cerró en 6,8 % del PIB, una cifra superior a la del año anterior (4,3 %). Además, la deuda pública alcanzó el 60 % del PIB, revirtiendo la tendencia de consolidación </w:t>
      </w:r>
      <w:r>
        <w:rPr>
          <w:rFonts w:ascii="Arial" w:eastAsia="Arial" w:hAnsi="Arial" w:cs="Arial"/>
          <w:sz w:val="22"/>
          <w:szCs w:val="22"/>
        </w:rPr>
        <w:lastRenderedPageBreak/>
        <w:t xml:space="preserve">fiscal observada entre 2021 y 2023. </w:t>
      </w:r>
      <w:hyperlink r:id="rId13">
        <w:r w:rsidR="00572AD5">
          <w:rPr>
            <w:rFonts w:ascii="Arial" w:eastAsia="Arial" w:hAnsi="Arial" w:cs="Arial"/>
            <w:color w:val="0000FF"/>
            <w:sz w:val="22"/>
            <w:szCs w:val="22"/>
            <w:u w:val="single"/>
          </w:rPr>
          <w:t>https://www.bluradio.com/economia/carf-pide-ajuste-de-46-billones-en-2025-para-regla-fiscal-en-2024-no-se-cumplio-del-todo-so35</w:t>
        </w:r>
      </w:hyperlink>
      <w:r>
        <w:rPr>
          <w:rFonts w:ascii="Arial" w:eastAsia="Arial" w:hAnsi="Arial" w:cs="Arial"/>
          <w:sz w:val="22"/>
          <w:szCs w:val="22"/>
        </w:rPr>
        <w:t>.</w:t>
      </w:r>
    </w:p>
    <w:p w14:paraId="440A94D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sintesis la </w:t>
      </w:r>
      <w:r>
        <w:rPr>
          <w:rFonts w:ascii="Arial" w:eastAsia="Arial" w:hAnsi="Arial" w:cs="Arial"/>
          <w:b/>
          <w:sz w:val="22"/>
          <w:szCs w:val="22"/>
        </w:rPr>
        <w:t>economía colombiana</w:t>
      </w:r>
      <w:r>
        <w:rPr>
          <w:rFonts w:ascii="Arial" w:eastAsia="Arial" w:hAnsi="Arial" w:cs="Arial"/>
          <w:sz w:val="22"/>
          <w:szCs w:val="22"/>
        </w:rPr>
        <w:t xml:space="preserve"> creció 1,7% en 2024, respecto al dato obtenido en 2023, cuando el Producto Interno Bruto (PIB) fue de 0,7%. Así lo reveló el Departamento Administrativo de Estadística (DANE), según el cual la actividad económica que más contribuyó a la dinámica del Producto Interno Bruto (PIB) del año pasado fue agricultura, ganadería, caza, silvicultura y pesca, con un crecimiento de 8,1% (contribuyó 0,8 puntos porcentuales a la variación anual). Le sigue administración pública y defensa; planes de seguridad social de afiliación obligatoria; educación; y actividades de atención de la salud humana y de servicios sociales, con 4,2% (0,7 puntos porcentuales a la variación anual). También tuvieron un comportamiento destacable las actividades artísticas, de entretenimiento y recreación y otras de servicios; actividades de los hogares individuales en calidad de empleadores; y actividades no diferenciadas de los hogares individuales como productores de bienes y servicios para uso propio, con 8,1% (0,3 puntos porcentuales). En cuanto a los resultados del cuarto trimestre de 2024, el repunte fue de 2,3%. La actividad económica que más contribuyó a la dinámica del valor agregado fue comercio al por mayor y al por menor; reparación de vehículos automotores y motocicletas; transporte y almacenamiento; alojamiento y servicios de comida, con un aumento de 4,4% (contribuyó con 1,0 puntos porcentuales a la variación anual). Le sigue administración pública y defensa; planes de seguridad social de afiliación obligatoria; educación; actividades de atención de la salud humana y de servicios sociales, con 4,0% (0,7 puntos porcentuales). Y en un tercer renglón se encuentra la agricultura, ganadería, caza, silvicultura y pesca, con un incremento de 6,5% (contribuye 0,6 puntos porcentuales a la variación anual). </w:t>
      </w:r>
      <w:hyperlink r:id="rId14">
        <w:r w:rsidR="00572AD5">
          <w:rPr>
            <w:rFonts w:ascii="Arial" w:eastAsia="Arial" w:hAnsi="Arial" w:cs="Arial"/>
            <w:color w:val="0000FF"/>
            <w:sz w:val="22"/>
            <w:szCs w:val="22"/>
            <w:u w:val="single"/>
          </w:rPr>
          <w:t>https://www.elcolombiano.com/negocios/cuanto-crecio-la-economia-de-colombia-en-2024-EA26622655</w:t>
        </w:r>
      </w:hyperlink>
    </w:p>
    <w:p w14:paraId="64FBF276" w14:textId="77777777" w:rsidR="00572AD5" w:rsidRDefault="00572AD5">
      <w:pPr>
        <w:spacing w:line="276" w:lineRule="auto"/>
        <w:jc w:val="both"/>
      </w:pPr>
    </w:p>
    <w:p w14:paraId="30917F38" w14:textId="77777777" w:rsidR="00572AD5" w:rsidRDefault="00000000">
      <w:pPr>
        <w:spacing w:line="276" w:lineRule="auto"/>
        <w:jc w:val="both"/>
        <w:rPr>
          <w:rFonts w:ascii="Arial" w:eastAsia="Arial" w:hAnsi="Arial" w:cs="Arial"/>
          <w:sz w:val="22"/>
          <w:szCs w:val="22"/>
        </w:rPr>
      </w:pPr>
      <w:r>
        <w:rPr>
          <w:noProof/>
        </w:rPr>
        <w:lastRenderedPageBreak/>
        <w:drawing>
          <wp:inline distT="0" distB="0" distL="0" distR="0" wp14:anchorId="14A3F5E3" wp14:editId="711CD436">
            <wp:extent cx="5255689" cy="3581873"/>
            <wp:effectExtent l="0" t="0" r="0" b="0"/>
            <wp:docPr id="3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5"/>
                    <a:srcRect l="7573" t="24196" r="35645" b="6969"/>
                    <a:stretch>
                      <a:fillRect/>
                    </a:stretch>
                  </pic:blipFill>
                  <pic:spPr>
                    <a:xfrm>
                      <a:off x="0" y="0"/>
                      <a:ext cx="5255689" cy="3581873"/>
                    </a:xfrm>
                    <a:prstGeom prst="rect">
                      <a:avLst/>
                    </a:prstGeom>
                    <a:ln/>
                  </pic:spPr>
                </pic:pic>
              </a:graphicData>
            </a:graphic>
          </wp:inline>
        </w:drawing>
      </w:r>
    </w:p>
    <w:p w14:paraId="58CA65D4" w14:textId="77777777" w:rsidR="00572AD5" w:rsidRDefault="00572AD5">
      <w:pPr>
        <w:spacing w:line="276" w:lineRule="auto"/>
        <w:jc w:val="both"/>
        <w:rPr>
          <w:rFonts w:ascii="Arial" w:eastAsia="Arial" w:hAnsi="Arial" w:cs="Arial"/>
          <w:sz w:val="22"/>
          <w:szCs w:val="22"/>
        </w:rPr>
      </w:pPr>
    </w:p>
    <w:p w14:paraId="67B151BA" w14:textId="77777777" w:rsidR="00572AD5" w:rsidRDefault="00572AD5">
      <w:pPr>
        <w:spacing w:line="276" w:lineRule="auto"/>
        <w:jc w:val="both"/>
        <w:rPr>
          <w:rFonts w:ascii="Arial" w:eastAsia="Arial" w:hAnsi="Arial" w:cs="Arial"/>
          <w:sz w:val="22"/>
          <w:szCs w:val="22"/>
        </w:rPr>
      </w:pPr>
    </w:p>
    <w:p w14:paraId="18993300"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Concluyendo, aunque la economía colombiana muestra signos de recuperación, persisten desafíos significativos que requieren atención y estrategias adecuadas para asegurar un crecimiento sostenido a largo plazo.</w:t>
      </w:r>
    </w:p>
    <w:p w14:paraId="48464617" w14:textId="77777777" w:rsidR="00572AD5" w:rsidRDefault="00572AD5">
      <w:pPr>
        <w:spacing w:line="276" w:lineRule="auto"/>
        <w:jc w:val="both"/>
        <w:rPr>
          <w:rFonts w:ascii="Arial" w:eastAsia="Arial" w:hAnsi="Arial" w:cs="Arial"/>
          <w:sz w:val="22"/>
          <w:szCs w:val="22"/>
        </w:rPr>
      </w:pPr>
    </w:p>
    <w:p w14:paraId="2D3C527F"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Índice De Precios Al Consumidor (IPC)</w:t>
      </w:r>
    </w:p>
    <w:p w14:paraId="69F41FEF" w14:textId="0FA1513B" w:rsidR="00572AD5" w:rsidRDefault="00572AD5">
      <w:pPr>
        <w:spacing w:line="276" w:lineRule="auto"/>
        <w:jc w:val="both"/>
        <w:rPr>
          <w:rFonts w:ascii="Arial" w:eastAsia="Arial" w:hAnsi="Arial" w:cs="Arial"/>
          <w:b/>
          <w:sz w:val="22"/>
          <w:szCs w:val="22"/>
        </w:rPr>
      </w:pPr>
    </w:p>
    <w:p w14:paraId="5579F8E7" w14:textId="3AB5EF25" w:rsidR="00572AD5" w:rsidRDefault="002C6D1E">
      <w:pPr>
        <w:spacing w:line="276" w:lineRule="auto"/>
        <w:jc w:val="both"/>
        <w:rPr>
          <w:rFonts w:ascii="Arial" w:eastAsia="Arial" w:hAnsi="Arial" w:cs="Arial"/>
          <w:b/>
          <w:sz w:val="22"/>
          <w:szCs w:val="22"/>
        </w:rPr>
      </w:pPr>
      <w:r>
        <w:rPr>
          <w:noProof/>
        </w:rPr>
        <w:drawing>
          <wp:anchor distT="0" distB="0" distL="114300" distR="114300" simplePos="0" relativeHeight="251673600" behindDoc="0" locked="0" layoutInCell="1" hidden="0" allowOverlap="1" wp14:anchorId="1A088D2D" wp14:editId="70A42672">
            <wp:simplePos x="0" y="0"/>
            <wp:positionH relativeFrom="margin">
              <wp:align>left</wp:align>
            </wp:positionH>
            <wp:positionV relativeFrom="paragraph">
              <wp:posOffset>-121920</wp:posOffset>
            </wp:positionV>
            <wp:extent cx="3648075" cy="2790825"/>
            <wp:effectExtent l="0" t="0" r="9525" b="9525"/>
            <wp:wrapSquare wrapText="bothSides" distT="0" distB="0" distL="114300" distR="114300"/>
            <wp:docPr id="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3648075" cy="2790825"/>
                    </a:xfrm>
                    <a:prstGeom prst="rect">
                      <a:avLst/>
                    </a:prstGeom>
                    <a:ln/>
                  </pic:spPr>
                </pic:pic>
              </a:graphicData>
            </a:graphic>
            <wp14:sizeRelH relativeFrom="margin">
              <wp14:pctWidth>0</wp14:pctWidth>
            </wp14:sizeRelH>
            <wp14:sizeRelV relativeFrom="margin">
              <wp14:pctHeight>0</wp14:pctHeight>
            </wp14:sizeRelV>
          </wp:anchor>
        </w:drawing>
      </w:r>
    </w:p>
    <w:p w14:paraId="434E9108" w14:textId="515D1A55" w:rsidR="00572AD5" w:rsidRDefault="00572AD5">
      <w:pPr>
        <w:spacing w:line="276" w:lineRule="auto"/>
        <w:jc w:val="both"/>
        <w:rPr>
          <w:rFonts w:ascii="Arial" w:eastAsia="Arial" w:hAnsi="Arial" w:cs="Arial"/>
          <w:b/>
          <w:sz w:val="22"/>
          <w:szCs w:val="22"/>
        </w:rPr>
      </w:pPr>
    </w:p>
    <w:p w14:paraId="381EB4F3" w14:textId="4C10E49A" w:rsidR="00572AD5" w:rsidRDefault="00572AD5">
      <w:pPr>
        <w:spacing w:line="276" w:lineRule="auto"/>
        <w:jc w:val="both"/>
        <w:rPr>
          <w:rFonts w:ascii="Arial" w:eastAsia="Arial" w:hAnsi="Arial" w:cs="Arial"/>
          <w:b/>
          <w:sz w:val="22"/>
          <w:szCs w:val="22"/>
        </w:rPr>
      </w:pPr>
    </w:p>
    <w:p w14:paraId="0D10AE57" w14:textId="77777777" w:rsidR="00572AD5" w:rsidRDefault="00572AD5">
      <w:pPr>
        <w:spacing w:line="276" w:lineRule="auto"/>
        <w:jc w:val="both"/>
        <w:rPr>
          <w:rFonts w:ascii="Arial" w:eastAsia="Arial" w:hAnsi="Arial" w:cs="Arial"/>
          <w:b/>
          <w:sz w:val="22"/>
          <w:szCs w:val="22"/>
        </w:rPr>
      </w:pPr>
    </w:p>
    <w:p w14:paraId="53FCEDD6" w14:textId="77777777" w:rsidR="00572AD5" w:rsidRDefault="00572AD5">
      <w:pPr>
        <w:spacing w:line="276" w:lineRule="auto"/>
        <w:jc w:val="both"/>
        <w:rPr>
          <w:rFonts w:ascii="Arial" w:eastAsia="Arial" w:hAnsi="Arial" w:cs="Arial"/>
          <w:b/>
          <w:sz w:val="22"/>
          <w:szCs w:val="22"/>
        </w:rPr>
      </w:pPr>
    </w:p>
    <w:p w14:paraId="293D075B" w14:textId="77777777" w:rsidR="00572AD5" w:rsidRDefault="00572AD5">
      <w:pPr>
        <w:spacing w:line="276" w:lineRule="auto"/>
        <w:jc w:val="both"/>
        <w:rPr>
          <w:rFonts w:ascii="Arial" w:eastAsia="Arial" w:hAnsi="Arial" w:cs="Arial"/>
          <w:b/>
          <w:sz w:val="22"/>
          <w:szCs w:val="22"/>
        </w:rPr>
      </w:pPr>
    </w:p>
    <w:p w14:paraId="254FF505" w14:textId="77777777" w:rsidR="00572AD5" w:rsidRDefault="00572AD5">
      <w:pPr>
        <w:spacing w:line="276" w:lineRule="auto"/>
        <w:jc w:val="both"/>
        <w:rPr>
          <w:rFonts w:ascii="Arial" w:eastAsia="Arial" w:hAnsi="Arial" w:cs="Arial"/>
          <w:b/>
          <w:sz w:val="22"/>
          <w:szCs w:val="22"/>
        </w:rPr>
      </w:pPr>
    </w:p>
    <w:p w14:paraId="077774D2" w14:textId="77777777" w:rsidR="00572AD5" w:rsidRDefault="00572AD5">
      <w:pPr>
        <w:spacing w:line="276" w:lineRule="auto"/>
        <w:jc w:val="both"/>
        <w:rPr>
          <w:rFonts w:ascii="Arial" w:eastAsia="Arial" w:hAnsi="Arial" w:cs="Arial"/>
          <w:b/>
          <w:sz w:val="22"/>
          <w:szCs w:val="22"/>
        </w:rPr>
      </w:pPr>
    </w:p>
    <w:p w14:paraId="0CC95204" w14:textId="77777777" w:rsidR="00572AD5" w:rsidRDefault="00572AD5">
      <w:pPr>
        <w:spacing w:line="276" w:lineRule="auto"/>
        <w:jc w:val="both"/>
        <w:rPr>
          <w:rFonts w:ascii="Arial" w:eastAsia="Arial" w:hAnsi="Arial" w:cs="Arial"/>
          <w:b/>
          <w:sz w:val="22"/>
          <w:szCs w:val="22"/>
        </w:rPr>
      </w:pPr>
    </w:p>
    <w:p w14:paraId="225C1FFF" w14:textId="77777777" w:rsidR="00572AD5" w:rsidRDefault="00572AD5">
      <w:pPr>
        <w:spacing w:line="276" w:lineRule="auto"/>
        <w:jc w:val="both"/>
        <w:rPr>
          <w:rFonts w:ascii="Arial" w:eastAsia="Arial" w:hAnsi="Arial" w:cs="Arial"/>
          <w:b/>
          <w:sz w:val="22"/>
          <w:szCs w:val="22"/>
        </w:rPr>
      </w:pPr>
    </w:p>
    <w:p w14:paraId="43444A7C" w14:textId="77777777" w:rsidR="00572AD5" w:rsidRDefault="00572AD5">
      <w:pPr>
        <w:spacing w:line="276" w:lineRule="auto"/>
        <w:jc w:val="both"/>
        <w:rPr>
          <w:rFonts w:ascii="Arial" w:eastAsia="Arial" w:hAnsi="Arial" w:cs="Arial"/>
          <w:b/>
          <w:sz w:val="22"/>
          <w:szCs w:val="22"/>
        </w:rPr>
      </w:pPr>
    </w:p>
    <w:p w14:paraId="2DEA5083" w14:textId="77777777" w:rsidR="00572AD5" w:rsidRDefault="00572AD5">
      <w:pPr>
        <w:spacing w:line="276" w:lineRule="auto"/>
        <w:jc w:val="both"/>
        <w:rPr>
          <w:rFonts w:ascii="Arial" w:eastAsia="Arial" w:hAnsi="Arial" w:cs="Arial"/>
          <w:b/>
          <w:sz w:val="22"/>
          <w:szCs w:val="22"/>
        </w:rPr>
      </w:pPr>
    </w:p>
    <w:p w14:paraId="111F86C9" w14:textId="77777777" w:rsidR="00572AD5" w:rsidRDefault="00572AD5">
      <w:pPr>
        <w:spacing w:line="276" w:lineRule="auto"/>
        <w:jc w:val="both"/>
        <w:rPr>
          <w:rFonts w:ascii="Arial" w:eastAsia="Arial" w:hAnsi="Arial" w:cs="Arial"/>
          <w:b/>
          <w:sz w:val="22"/>
          <w:szCs w:val="22"/>
        </w:rPr>
      </w:pPr>
    </w:p>
    <w:p w14:paraId="018294A8" w14:textId="77777777" w:rsidR="00572AD5" w:rsidRDefault="00572AD5">
      <w:pPr>
        <w:spacing w:line="276" w:lineRule="auto"/>
        <w:jc w:val="both"/>
        <w:rPr>
          <w:rFonts w:ascii="Arial" w:eastAsia="Arial" w:hAnsi="Arial" w:cs="Arial"/>
          <w:b/>
          <w:sz w:val="22"/>
          <w:szCs w:val="22"/>
        </w:rPr>
      </w:pPr>
    </w:p>
    <w:p w14:paraId="25FA482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El Índice de Precios al Consumidor (IPC) registró una notable reducción respecto al año anterior. Esta cifra será la base para determinar los incrementos máximos en arriendos, peajes y servicios esenciales.</w:t>
      </w:r>
    </w:p>
    <w:p w14:paraId="0DADD9CB" w14:textId="77777777" w:rsidR="00572AD5" w:rsidRDefault="00572AD5">
      <w:pPr>
        <w:spacing w:line="276" w:lineRule="auto"/>
        <w:jc w:val="both"/>
        <w:rPr>
          <w:rFonts w:ascii="Arial" w:eastAsia="Arial" w:hAnsi="Arial" w:cs="Arial"/>
          <w:sz w:val="22"/>
          <w:szCs w:val="22"/>
        </w:rPr>
      </w:pPr>
    </w:p>
    <w:p w14:paraId="6188FAA0"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Departamento Administrativo Nacional de Estadística (DANE) informó que la inflación en Colombia finalizó 2024 con una variación anual de 5,2 %, marcando un descenso significativo frente al 9,28 % registrado en 2023. Este comportamiento refuerza la tendencia a la baja observada durante el segundo semestre, acercándose a la meta del Banco de la República de estabilizar la inflación en un 3 %.</w:t>
      </w:r>
    </w:p>
    <w:p w14:paraId="5F03C552" w14:textId="77777777" w:rsidR="00572AD5" w:rsidRDefault="00572AD5">
      <w:pPr>
        <w:spacing w:line="276" w:lineRule="auto"/>
        <w:jc w:val="both"/>
        <w:rPr>
          <w:rFonts w:ascii="Arial" w:eastAsia="Arial" w:hAnsi="Arial" w:cs="Arial"/>
          <w:sz w:val="22"/>
          <w:szCs w:val="22"/>
        </w:rPr>
      </w:pPr>
    </w:p>
    <w:p w14:paraId="2EB5C03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Este dato es determinante para los ajustes económicos en 2025, especialmente en el incremento de precios de arriendos, peajes, servicios públicos y matrículas escolares. Por ejemplo, un arriendo mensual de $1.000.000 podrá aumentar hasta $1.052.000, respetando el límite del 5,2 %.</w:t>
      </w:r>
    </w:p>
    <w:p w14:paraId="0D9CE21E" w14:textId="77777777" w:rsidR="00572AD5" w:rsidRDefault="00572AD5">
      <w:pPr>
        <w:spacing w:line="276" w:lineRule="auto"/>
        <w:jc w:val="both"/>
        <w:rPr>
          <w:rFonts w:ascii="Arial" w:eastAsia="Arial" w:hAnsi="Arial" w:cs="Arial"/>
          <w:sz w:val="22"/>
          <w:szCs w:val="22"/>
        </w:rPr>
      </w:pPr>
    </w:p>
    <w:p w14:paraId="569B5956"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Sectores con mayor impacto en la inflación</w:t>
      </w:r>
    </w:p>
    <w:p w14:paraId="20BF1A2D" w14:textId="77777777" w:rsidR="00572AD5" w:rsidRDefault="00572AD5">
      <w:pPr>
        <w:spacing w:line="276" w:lineRule="auto"/>
        <w:jc w:val="both"/>
        <w:rPr>
          <w:rFonts w:ascii="Arial" w:eastAsia="Arial" w:hAnsi="Arial" w:cs="Arial"/>
          <w:sz w:val="22"/>
          <w:szCs w:val="22"/>
        </w:rPr>
      </w:pPr>
    </w:p>
    <w:p w14:paraId="5E5BF355"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reporte del DANE señala que la educación lideró como el sector con mayor impacto inflacionario, registrando un incremento del 10,62 %, único rubro en alcanzar cifras de dos dígitos. Le siguieron los sectores de restaurantes y hoteles (7,87 %), y alojamiento, agua, electricidad, gas y otros combustibles (6,96 %).</w:t>
      </w:r>
    </w:p>
    <w:p w14:paraId="0892EC8F" w14:textId="77777777" w:rsidR="00572AD5" w:rsidRDefault="00572AD5">
      <w:pPr>
        <w:spacing w:line="276" w:lineRule="auto"/>
        <w:jc w:val="both"/>
        <w:rPr>
          <w:rFonts w:ascii="Arial" w:eastAsia="Arial" w:hAnsi="Arial" w:cs="Arial"/>
          <w:sz w:val="22"/>
          <w:szCs w:val="22"/>
        </w:rPr>
      </w:pPr>
    </w:p>
    <w:p w14:paraId="0789D3EA"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el ámbito geográfico, Bucaramanga se posicionó nuevamente como la ciudad con mayor inflación anual, alcanzando el 6,06 %, mientras que Santa Marta reportó una variación negativa de 0,47 %, consolidándose como la ciudad con menor inflación.</w:t>
      </w:r>
    </w:p>
    <w:p w14:paraId="4D9360B2" w14:textId="77777777" w:rsidR="00572AD5" w:rsidRDefault="00572AD5">
      <w:pPr>
        <w:spacing w:line="276" w:lineRule="auto"/>
        <w:jc w:val="both"/>
        <w:rPr>
          <w:rFonts w:ascii="Arial" w:eastAsia="Arial" w:hAnsi="Arial" w:cs="Arial"/>
          <w:sz w:val="22"/>
          <w:szCs w:val="22"/>
        </w:rPr>
      </w:pPr>
    </w:p>
    <w:p w14:paraId="29F15858"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Expectativas de analistas económicos para el 2025</w:t>
      </w:r>
    </w:p>
    <w:p w14:paraId="2AD6ECFB" w14:textId="77777777" w:rsidR="00572AD5" w:rsidRDefault="00572AD5">
      <w:pPr>
        <w:spacing w:line="276" w:lineRule="auto"/>
        <w:jc w:val="both"/>
        <w:rPr>
          <w:rFonts w:ascii="Arial" w:eastAsia="Arial" w:hAnsi="Arial" w:cs="Arial"/>
          <w:b/>
          <w:sz w:val="22"/>
          <w:szCs w:val="22"/>
        </w:rPr>
      </w:pPr>
    </w:p>
    <w:p w14:paraId="124E17D4"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Se muestra la consulta a los analistas económicos sobre sus expectativas de inflación, tasa de intervención del Banco de la República, tasa representativa del mercado (TRM) y crecimiento del producto interno bruto (PIB), para determinados horizontes temporales. Esta encuesta hace parte de un conjunto de herramientas para el análisis de los canales de transmisión de política monetaria, que permite estudiar el grado de anclaje de las expectativas de inflación, con la particularidad que la Encuesta mensual de expectativas de analistas económicos (EME) permite recolectar información directa sobre las expectativas.</w:t>
      </w:r>
    </w:p>
    <w:p w14:paraId="58F4CDCC" w14:textId="77777777" w:rsidR="00572AD5" w:rsidRDefault="00572AD5">
      <w:pPr>
        <w:spacing w:line="276" w:lineRule="auto"/>
        <w:jc w:val="both"/>
        <w:rPr>
          <w:rFonts w:ascii="Arial" w:eastAsia="Arial" w:hAnsi="Arial" w:cs="Arial"/>
          <w:b/>
          <w:sz w:val="22"/>
          <w:szCs w:val="22"/>
        </w:rPr>
      </w:pPr>
    </w:p>
    <w:tbl>
      <w:tblPr>
        <w:tblStyle w:val="a7"/>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1231"/>
        <w:gridCol w:w="207"/>
        <w:gridCol w:w="965"/>
        <w:gridCol w:w="648"/>
        <w:gridCol w:w="480"/>
        <w:gridCol w:w="1156"/>
        <w:gridCol w:w="1402"/>
      </w:tblGrid>
      <w:tr w:rsidR="00572AD5" w14:paraId="724D311C" w14:textId="77777777">
        <w:trPr>
          <w:trHeight w:val="375"/>
        </w:trPr>
        <w:tc>
          <w:tcPr>
            <w:tcW w:w="9493" w:type="dxa"/>
            <w:gridSpan w:val="8"/>
            <w:shd w:val="clear" w:color="auto" w:fill="BF8F00"/>
          </w:tcPr>
          <w:p w14:paraId="4287E446" w14:textId="77777777" w:rsidR="00572AD5" w:rsidRDefault="00000000">
            <w:pPr>
              <w:spacing w:line="276" w:lineRule="auto"/>
              <w:jc w:val="both"/>
              <w:rPr>
                <w:rFonts w:ascii="Arial" w:eastAsia="Arial" w:hAnsi="Arial" w:cs="Arial"/>
                <w:b/>
                <w:sz w:val="18"/>
                <w:szCs w:val="18"/>
              </w:rPr>
            </w:pPr>
            <w:r>
              <w:rPr>
                <w:rFonts w:ascii="Arial" w:eastAsia="Arial" w:hAnsi="Arial" w:cs="Arial"/>
                <w:b/>
                <w:color w:val="FFFFFF"/>
                <w:sz w:val="18"/>
                <w:szCs w:val="18"/>
              </w:rPr>
              <w:t>RESUMEN RESULTADOS DE LA ENCUESTA MENSUAL DE EXPECTATIVAS ECONÓMICAS</w:t>
            </w:r>
          </w:p>
        </w:tc>
      </w:tr>
      <w:tr w:rsidR="00572AD5" w14:paraId="05DF03D1" w14:textId="77777777">
        <w:trPr>
          <w:trHeight w:val="315"/>
        </w:trPr>
        <w:tc>
          <w:tcPr>
            <w:tcW w:w="5807" w:type="dxa"/>
            <w:gridSpan w:val="4"/>
          </w:tcPr>
          <w:p w14:paraId="1661FDA7"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Fecha de realización: del 10 de enero al 14 de enero de 2025</w:t>
            </w:r>
          </w:p>
        </w:tc>
        <w:tc>
          <w:tcPr>
            <w:tcW w:w="1128" w:type="dxa"/>
            <w:gridSpan w:val="2"/>
          </w:tcPr>
          <w:p w14:paraId="484CBA8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 </w:t>
            </w:r>
          </w:p>
        </w:tc>
        <w:tc>
          <w:tcPr>
            <w:tcW w:w="2558" w:type="dxa"/>
            <w:gridSpan w:val="2"/>
          </w:tcPr>
          <w:p w14:paraId="429C6BC4"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 </w:t>
            </w:r>
          </w:p>
        </w:tc>
      </w:tr>
      <w:tr w:rsidR="00572AD5" w14:paraId="7FAFDE07" w14:textId="77777777">
        <w:trPr>
          <w:trHeight w:val="390"/>
        </w:trPr>
        <w:tc>
          <w:tcPr>
            <w:tcW w:w="9493" w:type="dxa"/>
            <w:gridSpan w:val="8"/>
          </w:tcPr>
          <w:p w14:paraId="57A21296"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xml:space="preserve">Expectativas de Inflación </w:t>
            </w:r>
          </w:p>
        </w:tc>
      </w:tr>
      <w:tr w:rsidR="00572AD5" w14:paraId="67BC7CAA" w14:textId="77777777">
        <w:trPr>
          <w:trHeight w:val="510"/>
        </w:trPr>
        <w:tc>
          <w:tcPr>
            <w:tcW w:w="3404" w:type="dxa"/>
          </w:tcPr>
          <w:p w14:paraId="18E5B512"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Estadística</w:t>
            </w:r>
          </w:p>
        </w:tc>
        <w:tc>
          <w:tcPr>
            <w:tcW w:w="1231" w:type="dxa"/>
          </w:tcPr>
          <w:p w14:paraId="3F603733"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Promedio</w:t>
            </w:r>
          </w:p>
        </w:tc>
        <w:tc>
          <w:tcPr>
            <w:tcW w:w="1172" w:type="dxa"/>
            <w:gridSpan w:val="2"/>
          </w:tcPr>
          <w:p w14:paraId="69327A3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Mínimo</w:t>
            </w:r>
          </w:p>
        </w:tc>
        <w:tc>
          <w:tcPr>
            <w:tcW w:w="1128" w:type="dxa"/>
            <w:gridSpan w:val="2"/>
          </w:tcPr>
          <w:p w14:paraId="50867B66"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Máximo</w:t>
            </w:r>
          </w:p>
        </w:tc>
        <w:tc>
          <w:tcPr>
            <w:tcW w:w="2558" w:type="dxa"/>
            <w:gridSpan w:val="2"/>
          </w:tcPr>
          <w:p w14:paraId="5238CA7A"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No. encuestados</w:t>
            </w:r>
          </w:p>
        </w:tc>
      </w:tr>
      <w:tr w:rsidR="00572AD5" w14:paraId="39CF30CE" w14:textId="77777777">
        <w:trPr>
          <w:trHeight w:val="315"/>
        </w:trPr>
        <w:tc>
          <w:tcPr>
            <w:tcW w:w="3404" w:type="dxa"/>
          </w:tcPr>
          <w:p w14:paraId="4507778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lastRenderedPageBreak/>
              <w:t>% mensual en enero de 2025</w:t>
            </w:r>
          </w:p>
        </w:tc>
        <w:tc>
          <w:tcPr>
            <w:tcW w:w="1231" w:type="dxa"/>
          </w:tcPr>
          <w:p w14:paraId="4A80390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0,82%</w:t>
            </w:r>
          </w:p>
        </w:tc>
        <w:tc>
          <w:tcPr>
            <w:tcW w:w="1172" w:type="dxa"/>
            <w:gridSpan w:val="2"/>
          </w:tcPr>
          <w:p w14:paraId="3417842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0,50%</w:t>
            </w:r>
          </w:p>
        </w:tc>
        <w:tc>
          <w:tcPr>
            <w:tcW w:w="1128" w:type="dxa"/>
            <w:gridSpan w:val="2"/>
          </w:tcPr>
          <w:p w14:paraId="05349246"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1,09%</w:t>
            </w:r>
          </w:p>
        </w:tc>
        <w:tc>
          <w:tcPr>
            <w:tcW w:w="2558" w:type="dxa"/>
            <w:gridSpan w:val="2"/>
          </w:tcPr>
          <w:p w14:paraId="4CDC4851"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362483AC" w14:textId="77777777">
        <w:trPr>
          <w:trHeight w:val="315"/>
        </w:trPr>
        <w:tc>
          <w:tcPr>
            <w:tcW w:w="3404" w:type="dxa"/>
          </w:tcPr>
          <w:p w14:paraId="5C901F7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diciembre de 2025</w:t>
            </w:r>
          </w:p>
        </w:tc>
        <w:tc>
          <w:tcPr>
            <w:tcW w:w="1231" w:type="dxa"/>
          </w:tcPr>
          <w:p w14:paraId="2013B66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4,21%</w:t>
            </w:r>
          </w:p>
        </w:tc>
        <w:tc>
          <w:tcPr>
            <w:tcW w:w="1172" w:type="dxa"/>
            <w:gridSpan w:val="2"/>
          </w:tcPr>
          <w:p w14:paraId="2F4A552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3,66%</w:t>
            </w:r>
          </w:p>
        </w:tc>
        <w:tc>
          <w:tcPr>
            <w:tcW w:w="1128" w:type="dxa"/>
            <w:gridSpan w:val="2"/>
          </w:tcPr>
          <w:p w14:paraId="51B1A60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5,42%</w:t>
            </w:r>
          </w:p>
        </w:tc>
        <w:tc>
          <w:tcPr>
            <w:tcW w:w="2558" w:type="dxa"/>
            <w:gridSpan w:val="2"/>
          </w:tcPr>
          <w:p w14:paraId="273BA48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289FE955" w14:textId="77777777">
        <w:trPr>
          <w:trHeight w:val="315"/>
        </w:trPr>
        <w:tc>
          <w:tcPr>
            <w:tcW w:w="3404" w:type="dxa"/>
          </w:tcPr>
          <w:p w14:paraId="31DC3E2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enero de 2026</w:t>
            </w:r>
          </w:p>
        </w:tc>
        <w:tc>
          <w:tcPr>
            <w:tcW w:w="1231" w:type="dxa"/>
          </w:tcPr>
          <w:p w14:paraId="6948D10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4,06%</w:t>
            </w:r>
          </w:p>
        </w:tc>
        <w:tc>
          <w:tcPr>
            <w:tcW w:w="1172" w:type="dxa"/>
            <w:gridSpan w:val="2"/>
          </w:tcPr>
          <w:p w14:paraId="2988E81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3,59%</w:t>
            </w:r>
          </w:p>
        </w:tc>
        <w:tc>
          <w:tcPr>
            <w:tcW w:w="1128" w:type="dxa"/>
            <w:gridSpan w:val="2"/>
          </w:tcPr>
          <w:p w14:paraId="043CAAA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5,17%</w:t>
            </w:r>
          </w:p>
        </w:tc>
        <w:tc>
          <w:tcPr>
            <w:tcW w:w="2558" w:type="dxa"/>
            <w:gridSpan w:val="2"/>
          </w:tcPr>
          <w:p w14:paraId="266C6D0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37</w:t>
            </w:r>
          </w:p>
        </w:tc>
      </w:tr>
      <w:tr w:rsidR="00572AD5" w14:paraId="556D7338" w14:textId="77777777">
        <w:trPr>
          <w:trHeight w:val="315"/>
        </w:trPr>
        <w:tc>
          <w:tcPr>
            <w:tcW w:w="3404" w:type="dxa"/>
          </w:tcPr>
          <w:p w14:paraId="19C72D6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diciembre de 2026</w:t>
            </w:r>
          </w:p>
        </w:tc>
        <w:tc>
          <w:tcPr>
            <w:tcW w:w="1231" w:type="dxa"/>
          </w:tcPr>
          <w:p w14:paraId="0925CC3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3,65%</w:t>
            </w:r>
          </w:p>
        </w:tc>
        <w:tc>
          <w:tcPr>
            <w:tcW w:w="1172" w:type="dxa"/>
            <w:gridSpan w:val="2"/>
          </w:tcPr>
          <w:p w14:paraId="0A18473B"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3,00%</w:t>
            </w:r>
          </w:p>
        </w:tc>
        <w:tc>
          <w:tcPr>
            <w:tcW w:w="1128" w:type="dxa"/>
            <w:gridSpan w:val="2"/>
          </w:tcPr>
          <w:p w14:paraId="60714F7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5,09%</w:t>
            </w:r>
          </w:p>
        </w:tc>
        <w:tc>
          <w:tcPr>
            <w:tcW w:w="2558" w:type="dxa"/>
            <w:gridSpan w:val="2"/>
          </w:tcPr>
          <w:p w14:paraId="7602686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38</w:t>
            </w:r>
          </w:p>
        </w:tc>
      </w:tr>
      <w:tr w:rsidR="00572AD5" w14:paraId="64007440" w14:textId="77777777">
        <w:trPr>
          <w:trHeight w:val="330"/>
        </w:trPr>
        <w:tc>
          <w:tcPr>
            <w:tcW w:w="3404" w:type="dxa"/>
          </w:tcPr>
          <w:p w14:paraId="62E9FFC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enero de 2027</w:t>
            </w:r>
          </w:p>
        </w:tc>
        <w:tc>
          <w:tcPr>
            <w:tcW w:w="1231" w:type="dxa"/>
          </w:tcPr>
          <w:p w14:paraId="4606B70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3,51%</w:t>
            </w:r>
          </w:p>
        </w:tc>
        <w:tc>
          <w:tcPr>
            <w:tcW w:w="1172" w:type="dxa"/>
            <w:gridSpan w:val="2"/>
          </w:tcPr>
          <w:p w14:paraId="0AA989A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2,80%</w:t>
            </w:r>
          </w:p>
        </w:tc>
        <w:tc>
          <w:tcPr>
            <w:tcW w:w="1128" w:type="dxa"/>
            <w:gridSpan w:val="2"/>
          </w:tcPr>
          <w:p w14:paraId="25127EEC"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5,02%</w:t>
            </w:r>
          </w:p>
        </w:tc>
        <w:tc>
          <w:tcPr>
            <w:tcW w:w="2558" w:type="dxa"/>
            <w:gridSpan w:val="2"/>
          </w:tcPr>
          <w:p w14:paraId="519BE08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34</w:t>
            </w:r>
          </w:p>
        </w:tc>
      </w:tr>
      <w:tr w:rsidR="00572AD5" w14:paraId="30D378CD" w14:textId="77777777">
        <w:trPr>
          <w:trHeight w:val="330"/>
        </w:trPr>
        <w:tc>
          <w:tcPr>
            <w:tcW w:w="9493" w:type="dxa"/>
            <w:gridSpan w:val="8"/>
            <w:shd w:val="clear" w:color="auto" w:fill="BF8F00"/>
          </w:tcPr>
          <w:p w14:paraId="0078AEB8" w14:textId="77777777" w:rsidR="00572AD5" w:rsidRDefault="00000000">
            <w:pPr>
              <w:jc w:val="center"/>
              <w:rPr>
                <w:rFonts w:ascii="Arial" w:eastAsia="Arial" w:hAnsi="Arial" w:cs="Arial"/>
                <w:color w:val="FFFFFF"/>
                <w:sz w:val="18"/>
                <w:szCs w:val="18"/>
              </w:rPr>
            </w:pPr>
            <w:r>
              <w:rPr>
                <w:rFonts w:ascii="Arial" w:eastAsia="Arial" w:hAnsi="Arial" w:cs="Arial"/>
                <w:b/>
                <w:color w:val="FFFFFF"/>
                <w:sz w:val="18"/>
                <w:szCs w:val="18"/>
              </w:rPr>
              <w:t>Expectativas de TRM fin de período</w:t>
            </w:r>
          </w:p>
        </w:tc>
      </w:tr>
      <w:tr w:rsidR="00572AD5" w14:paraId="53128008" w14:textId="77777777">
        <w:trPr>
          <w:trHeight w:val="330"/>
        </w:trPr>
        <w:tc>
          <w:tcPr>
            <w:tcW w:w="3404" w:type="dxa"/>
          </w:tcPr>
          <w:p w14:paraId="3BCE0D8A"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Estadística</w:t>
            </w:r>
          </w:p>
        </w:tc>
        <w:tc>
          <w:tcPr>
            <w:tcW w:w="1438" w:type="dxa"/>
            <w:gridSpan w:val="2"/>
          </w:tcPr>
          <w:p w14:paraId="6AEA4DE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Promedio</w:t>
            </w:r>
          </w:p>
        </w:tc>
        <w:tc>
          <w:tcPr>
            <w:tcW w:w="1613" w:type="dxa"/>
            <w:gridSpan w:val="2"/>
          </w:tcPr>
          <w:p w14:paraId="39BB3BC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Mínimo</w:t>
            </w:r>
          </w:p>
        </w:tc>
        <w:tc>
          <w:tcPr>
            <w:tcW w:w="1636" w:type="dxa"/>
            <w:gridSpan w:val="2"/>
          </w:tcPr>
          <w:p w14:paraId="5EF14F9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Máximo</w:t>
            </w:r>
          </w:p>
        </w:tc>
        <w:tc>
          <w:tcPr>
            <w:tcW w:w="1402" w:type="dxa"/>
          </w:tcPr>
          <w:p w14:paraId="6A86DE7E"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No. encuestados</w:t>
            </w:r>
          </w:p>
        </w:tc>
      </w:tr>
      <w:tr w:rsidR="00572AD5" w14:paraId="3D67DF4A" w14:textId="77777777">
        <w:trPr>
          <w:trHeight w:val="315"/>
        </w:trPr>
        <w:tc>
          <w:tcPr>
            <w:tcW w:w="3404" w:type="dxa"/>
          </w:tcPr>
          <w:p w14:paraId="07C6A134"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2025</w:t>
            </w:r>
          </w:p>
        </w:tc>
        <w:tc>
          <w:tcPr>
            <w:tcW w:w="1438" w:type="dxa"/>
            <w:gridSpan w:val="2"/>
          </w:tcPr>
          <w:p w14:paraId="6A2309C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4331</w:t>
            </w:r>
          </w:p>
        </w:tc>
        <w:tc>
          <w:tcPr>
            <w:tcW w:w="1613" w:type="dxa"/>
            <w:gridSpan w:val="2"/>
          </w:tcPr>
          <w:p w14:paraId="5D39FDF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4193</w:t>
            </w:r>
          </w:p>
        </w:tc>
        <w:tc>
          <w:tcPr>
            <w:tcW w:w="1636" w:type="dxa"/>
            <w:gridSpan w:val="2"/>
          </w:tcPr>
          <w:p w14:paraId="14D1BAB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4420</w:t>
            </w:r>
          </w:p>
        </w:tc>
        <w:tc>
          <w:tcPr>
            <w:tcW w:w="1402" w:type="dxa"/>
          </w:tcPr>
          <w:p w14:paraId="4CF3BB5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39</w:t>
            </w:r>
          </w:p>
        </w:tc>
      </w:tr>
      <w:tr w:rsidR="00572AD5" w14:paraId="71E95F91" w14:textId="77777777">
        <w:trPr>
          <w:trHeight w:val="315"/>
        </w:trPr>
        <w:tc>
          <w:tcPr>
            <w:tcW w:w="3404" w:type="dxa"/>
          </w:tcPr>
          <w:p w14:paraId="54EDE11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diciembre de 2025</w:t>
            </w:r>
          </w:p>
        </w:tc>
        <w:tc>
          <w:tcPr>
            <w:tcW w:w="1438" w:type="dxa"/>
            <w:gridSpan w:val="2"/>
          </w:tcPr>
          <w:p w14:paraId="44E0121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4337</w:t>
            </w:r>
          </w:p>
        </w:tc>
        <w:tc>
          <w:tcPr>
            <w:tcW w:w="1613" w:type="dxa"/>
            <w:gridSpan w:val="2"/>
          </w:tcPr>
          <w:p w14:paraId="63227F5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4000</w:t>
            </w:r>
          </w:p>
        </w:tc>
        <w:tc>
          <w:tcPr>
            <w:tcW w:w="1636" w:type="dxa"/>
            <w:gridSpan w:val="2"/>
          </w:tcPr>
          <w:p w14:paraId="3D7C83B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4774</w:t>
            </w:r>
          </w:p>
        </w:tc>
        <w:tc>
          <w:tcPr>
            <w:tcW w:w="1402" w:type="dxa"/>
          </w:tcPr>
          <w:p w14:paraId="6CD63CD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37E3DA50" w14:textId="77777777">
        <w:trPr>
          <w:trHeight w:val="315"/>
        </w:trPr>
        <w:tc>
          <w:tcPr>
            <w:tcW w:w="3404" w:type="dxa"/>
          </w:tcPr>
          <w:p w14:paraId="21043EEE"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2026</w:t>
            </w:r>
          </w:p>
        </w:tc>
        <w:tc>
          <w:tcPr>
            <w:tcW w:w="1438" w:type="dxa"/>
            <w:gridSpan w:val="2"/>
          </w:tcPr>
          <w:p w14:paraId="3AEEF0A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4286</w:t>
            </w:r>
          </w:p>
        </w:tc>
        <w:tc>
          <w:tcPr>
            <w:tcW w:w="1613" w:type="dxa"/>
            <w:gridSpan w:val="2"/>
          </w:tcPr>
          <w:p w14:paraId="7B93E9D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3800</w:t>
            </w:r>
          </w:p>
        </w:tc>
        <w:tc>
          <w:tcPr>
            <w:tcW w:w="1636" w:type="dxa"/>
            <w:gridSpan w:val="2"/>
          </w:tcPr>
          <w:p w14:paraId="748005B9"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4750</w:t>
            </w:r>
          </w:p>
        </w:tc>
        <w:tc>
          <w:tcPr>
            <w:tcW w:w="1402" w:type="dxa"/>
          </w:tcPr>
          <w:p w14:paraId="6E6871D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w:t>
            </w:r>
          </w:p>
        </w:tc>
      </w:tr>
      <w:tr w:rsidR="00572AD5" w14:paraId="481F634D" w14:textId="77777777">
        <w:trPr>
          <w:trHeight w:val="315"/>
        </w:trPr>
        <w:tc>
          <w:tcPr>
            <w:tcW w:w="3404" w:type="dxa"/>
          </w:tcPr>
          <w:p w14:paraId="3B3AF22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diciembre de 2026</w:t>
            </w:r>
          </w:p>
        </w:tc>
        <w:tc>
          <w:tcPr>
            <w:tcW w:w="1438" w:type="dxa"/>
            <w:gridSpan w:val="2"/>
          </w:tcPr>
          <w:p w14:paraId="5F677EE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4249</w:t>
            </w:r>
          </w:p>
        </w:tc>
        <w:tc>
          <w:tcPr>
            <w:tcW w:w="1613" w:type="dxa"/>
            <w:gridSpan w:val="2"/>
          </w:tcPr>
          <w:p w14:paraId="207C567C"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3687</w:t>
            </w:r>
          </w:p>
        </w:tc>
        <w:tc>
          <w:tcPr>
            <w:tcW w:w="1636" w:type="dxa"/>
            <w:gridSpan w:val="2"/>
          </w:tcPr>
          <w:p w14:paraId="5D0EA27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4800</w:t>
            </w:r>
          </w:p>
        </w:tc>
        <w:tc>
          <w:tcPr>
            <w:tcW w:w="1402" w:type="dxa"/>
          </w:tcPr>
          <w:p w14:paraId="157BC41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w:t>
            </w:r>
          </w:p>
        </w:tc>
      </w:tr>
      <w:tr w:rsidR="00572AD5" w14:paraId="339F414A" w14:textId="77777777">
        <w:trPr>
          <w:trHeight w:val="330"/>
        </w:trPr>
        <w:tc>
          <w:tcPr>
            <w:tcW w:w="3404" w:type="dxa"/>
          </w:tcPr>
          <w:p w14:paraId="773167D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2027</w:t>
            </w:r>
          </w:p>
        </w:tc>
        <w:tc>
          <w:tcPr>
            <w:tcW w:w="1438" w:type="dxa"/>
            <w:gridSpan w:val="2"/>
          </w:tcPr>
          <w:p w14:paraId="3D69D8BB"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4217</w:t>
            </w:r>
          </w:p>
        </w:tc>
        <w:tc>
          <w:tcPr>
            <w:tcW w:w="1613" w:type="dxa"/>
            <w:gridSpan w:val="2"/>
          </w:tcPr>
          <w:p w14:paraId="20AC632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3714</w:t>
            </w:r>
          </w:p>
        </w:tc>
        <w:tc>
          <w:tcPr>
            <w:tcW w:w="1636" w:type="dxa"/>
            <w:gridSpan w:val="2"/>
          </w:tcPr>
          <w:p w14:paraId="106504F2"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5100</w:t>
            </w:r>
          </w:p>
        </w:tc>
        <w:tc>
          <w:tcPr>
            <w:tcW w:w="1402" w:type="dxa"/>
          </w:tcPr>
          <w:p w14:paraId="0E7B84B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34</w:t>
            </w:r>
          </w:p>
        </w:tc>
      </w:tr>
    </w:tbl>
    <w:p w14:paraId="7F98816E" w14:textId="77777777" w:rsidR="00572AD5" w:rsidRDefault="00572AD5">
      <w:pPr>
        <w:widowControl w:val="0"/>
        <w:pBdr>
          <w:top w:val="nil"/>
          <w:left w:val="nil"/>
          <w:bottom w:val="nil"/>
          <w:right w:val="nil"/>
          <w:between w:val="nil"/>
        </w:pBdr>
        <w:spacing w:line="276" w:lineRule="auto"/>
        <w:rPr>
          <w:rFonts w:ascii="Arial" w:eastAsia="Arial" w:hAnsi="Arial" w:cs="Arial"/>
          <w:sz w:val="18"/>
          <w:szCs w:val="18"/>
        </w:rPr>
      </w:pPr>
    </w:p>
    <w:tbl>
      <w:tblPr>
        <w:tblStyle w:val="a8"/>
        <w:tblW w:w="9488" w:type="dxa"/>
        <w:tblInd w:w="0" w:type="dxa"/>
        <w:tblLayout w:type="fixed"/>
        <w:tblLook w:val="0400" w:firstRow="0" w:lastRow="0" w:firstColumn="0" w:lastColumn="0" w:noHBand="0" w:noVBand="1"/>
      </w:tblPr>
      <w:tblGrid>
        <w:gridCol w:w="3534"/>
        <w:gridCol w:w="1365"/>
        <w:gridCol w:w="1612"/>
        <w:gridCol w:w="1560"/>
        <w:gridCol w:w="1417"/>
      </w:tblGrid>
      <w:tr w:rsidR="00572AD5" w14:paraId="617DE6B3" w14:textId="77777777">
        <w:trPr>
          <w:trHeight w:val="330"/>
        </w:trPr>
        <w:tc>
          <w:tcPr>
            <w:tcW w:w="3534" w:type="dxa"/>
            <w:tcBorders>
              <w:top w:val="single" w:sz="8" w:space="0" w:color="FFFFFF"/>
              <w:left w:val="single" w:sz="8" w:space="0" w:color="FFFFFF"/>
              <w:bottom w:val="nil"/>
              <w:right w:val="single" w:sz="8" w:space="0" w:color="FFFFFF"/>
            </w:tcBorders>
            <w:shd w:val="clear" w:color="auto" w:fill="333334"/>
            <w:vAlign w:val="center"/>
          </w:tcPr>
          <w:p w14:paraId="18AA5917" w14:textId="77777777" w:rsidR="00572AD5" w:rsidRDefault="00000000">
            <w:pP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 </w:t>
            </w:r>
          </w:p>
        </w:tc>
        <w:tc>
          <w:tcPr>
            <w:tcW w:w="5954" w:type="dxa"/>
            <w:gridSpan w:val="4"/>
            <w:tcBorders>
              <w:top w:val="nil"/>
              <w:left w:val="nil"/>
              <w:bottom w:val="single" w:sz="8" w:space="0" w:color="FFFFFF"/>
              <w:right w:val="nil"/>
            </w:tcBorders>
            <w:shd w:val="clear" w:color="auto" w:fill="333334"/>
            <w:vAlign w:val="center"/>
          </w:tcPr>
          <w:p w14:paraId="5A289235"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Expectativas de la variación del Producto Interno Bruto (PIB)</w:t>
            </w:r>
          </w:p>
        </w:tc>
      </w:tr>
      <w:tr w:rsidR="00572AD5" w14:paraId="2E0B25C7" w14:textId="77777777">
        <w:trPr>
          <w:trHeight w:val="615"/>
        </w:trPr>
        <w:tc>
          <w:tcPr>
            <w:tcW w:w="3534" w:type="dxa"/>
            <w:tcBorders>
              <w:top w:val="nil"/>
              <w:left w:val="single" w:sz="8" w:space="0" w:color="FFFFFF"/>
              <w:bottom w:val="single" w:sz="8" w:space="0" w:color="FFFFFF"/>
              <w:right w:val="single" w:sz="8" w:space="0" w:color="FFFFFF"/>
            </w:tcBorders>
            <w:shd w:val="clear" w:color="auto" w:fill="333334"/>
            <w:vAlign w:val="center"/>
          </w:tcPr>
          <w:p w14:paraId="36084D00"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Medidas estadísticas</w:t>
            </w:r>
          </w:p>
        </w:tc>
        <w:tc>
          <w:tcPr>
            <w:tcW w:w="1365" w:type="dxa"/>
            <w:tcBorders>
              <w:top w:val="nil"/>
              <w:left w:val="nil"/>
              <w:bottom w:val="single" w:sz="8" w:space="0" w:color="FFFFFF"/>
              <w:right w:val="single" w:sz="8" w:space="0" w:color="FFFFFF"/>
            </w:tcBorders>
            <w:shd w:val="clear" w:color="auto" w:fill="333334"/>
            <w:vAlign w:val="center"/>
          </w:tcPr>
          <w:p w14:paraId="777EC905"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trim-II 2025</w:t>
            </w:r>
          </w:p>
        </w:tc>
        <w:tc>
          <w:tcPr>
            <w:tcW w:w="1612" w:type="dxa"/>
            <w:tcBorders>
              <w:top w:val="nil"/>
              <w:left w:val="nil"/>
              <w:bottom w:val="single" w:sz="8" w:space="0" w:color="FFFFFF"/>
              <w:right w:val="single" w:sz="8" w:space="0" w:color="FFFFFF"/>
            </w:tcBorders>
            <w:shd w:val="clear" w:color="auto" w:fill="333334"/>
            <w:vAlign w:val="center"/>
          </w:tcPr>
          <w:p w14:paraId="55F2C4B8"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trim-III 2025</w:t>
            </w:r>
          </w:p>
        </w:tc>
        <w:tc>
          <w:tcPr>
            <w:tcW w:w="1560" w:type="dxa"/>
            <w:tcBorders>
              <w:top w:val="nil"/>
              <w:left w:val="nil"/>
              <w:bottom w:val="single" w:sz="8" w:space="0" w:color="FFFFFF"/>
              <w:right w:val="single" w:sz="8" w:space="0" w:color="FFFFFF"/>
            </w:tcBorders>
            <w:shd w:val="clear" w:color="auto" w:fill="333334"/>
            <w:vAlign w:val="center"/>
          </w:tcPr>
          <w:p w14:paraId="5D71A314"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trim-IV 2025</w:t>
            </w:r>
          </w:p>
        </w:tc>
        <w:tc>
          <w:tcPr>
            <w:tcW w:w="1417" w:type="dxa"/>
            <w:tcBorders>
              <w:top w:val="nil"/>
              <w:left w:val="nil"/>
              <w:bottom w:val="single" w:sz="8" w:space="0" w:color="FFFFFF"/>
              <w:right w:val="single" w:sz="8" w:space="0" w:color="FFFFFF"/>
            </w:tcBorders>
            <w:shd w:val="clear" w:color="auto" w:fill="333334"/>
            <w:vAlign w:val="center"/>
          </w:tcPr>
          <w:p w14:paraId="6B8A271B"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AÑO 2025</w:t>
            </w:r>
          </w:p>
        </w:tc>
      </w:tr>
      <w:tr w:rsidR="00572AD5" w14:paraId="4B3CB23F" w14:textId="77777777">
        <w:trPr>
          <w:trHeight w:val="330"/>
        </w:trPr>
        <w:tc>
          <w:tcPr>
            <w:tcW w:w="9488" w:type="dxa"/>
            <w:gridSpan w:val="5"/>
            <w:tcBorders>
              <w:top w:val="nil"/>
              <w:left w:val="nil"/>
              <w:bottom w:val="single" w:sz="8" w:space="0" w:color="000000"/>
              <w:right w:val="nil"/>
            </w:tcBorders>
            <w:shd w:val="clear" w:color="auto" w:fill="333334"/>
            <w:vAlign w:val="bottom"/>
          </w:tcPr>
          <w:p w14:paraId="7CB51D94"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TODAS LAS ENTIDADES PARTICIPANTES</w:t>
            </w:r>
          </w:p>
        </w:tc>
      </w:tr>
      <w:tr w:rsidR="00572AD5" w14:paraId="73493E7A" w14:textId="77777777">
        <w:trPr>
          <w:trHeight w:val="315"/>
        </w:trPr>
        <w:tc>
          <w:tcPr>
            <w:tcW w:w="9488" w:type="dxa"/>
            <w:gridSpan w:val="5"/>
            <w:tcBorders>
              <w:top w:val="single" w:sz="8" w:space="0" w:color="000000"/>
              <w:left w:val="single" w:sz="8" w:space="0" w:color="000000"/>
              <w:bottom w:val="nil"/>
              <w:right w:val="nil"/>
            </w:tcBorders>
            <w:shd w:val="clear" w:color="auto" w:fill="auto"/>
            <w:vAlign w:val="bottom"/>
          </w:tcPr>
          <w:p w14:paraId="728F01E9" w14:textId="77777777" w:rsidR="00572AD5" w:rsidRDefault="00000000">
            <w:pPr>
              <w:jc w:val="cente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De tendencia:</w:t>
            </w:r>
          </w:p>
        </w:tc>
      </w:tr>
      <w:tr w:rsidR="00572AD5" w14:paraId="12F399F7" w14:textId="77777777">
        <w:trPr>
          <w:trHeight w:val="315"/>
        </w:trPr>
        <w:tc>
          <w:tcPr>
            <w:tcW w:w="3534" w:type="dxa"/>
            <w:tcBorders>
              <w:top w:val="nil"/>
              <w:left w:val="single" w:sz="8" w:space="0" w:color="000000"/>
              <w:bottom w:val="nil"/>
              <w:right w:val="nil"/>
            </w:tcBorders>
            <w:shd w:val="clear" w:color="auto" w:fill="D9D9D9"/>
            <w:vAlign w:val="bottom"/>
          </w:tcPr>
          <w:p w14:paraId="5BEED1D1" w14:textId="77777777" w:rsidR="00572AD5" w:rsidRDefault="00000000">
            <w:pPr>
              <w:rPr>
                <w:rFonts w:ascii="Aptos Narrow" w:eastAsia="Aptos Narrow" w:hAnsi="Aptos Narrow" w:cs="Aptos Narrow"/>
                <w:sz w:val="20"/>
                <w:szCs w:val="20"/>
              </w:rPr>
            </w:pPr>
            <w:r>
              <w:rPr>
                <w:rFonts w:ascii="Aptos Narrow" w:eastAsia="Aptos Narrow" w:hAnsi="Aptos Narrow" w:cs="Aptos Narrow"/>
                <w:sz w:val="20"/>
                <w:szCs w:val="20"/>
              </w:rPr>
              <w:t xml:space="preserve">   Media</w:t>
            </w:r>
          </w:p>
        </w:tc>
        <w:tc>
          <w:tcPr>
            <w:tcW w:w="1365" w:type="dxa"/>
            <w:tcBorders>
              <w:top w:val="nil"/>
              <w:left w:val="nil"/>
              <w:bottom w:val="nil"/>
              <w:right w:val="single" w:sz="8" w:space="0" w:color="000000"/>
            </w:tcBorders>
            <w:shd w:val="clear" w:color="auto" w:fill="D9D9D9"/>
            <w:vAlign w:val="bottom"/>
          </w:tcPr>
          <w:p w14:paraId="73F436B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2,40%</w:t>
            </w:r>
          </w:p>
        </w:tc>
        <w:tc>
          <w:tcPr>
            <w:tcW w:w="1612" w:type="dxa"/>
            <w:tcBorders>
              <w:top w:val="nil"/>
              <w:left w:val="nil"/>
              <w:bottom w:val="nil"/>
              <w:right w:val="single" w:sz="8" w:space="0" w:color="000000"/>
            </w:tcBorders>
            <w:shd w:val="clear" w:color="auto" w:fill="D9D9D9"/>
            <w:vAlign w:val="bottom"/>
          </w:tcPr>
          <w:p w14:paraId="7AE4B524"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2,64%</w:t>
            </w:r>
          </w:p>
        </w:tc>
        <w:tc>
          <w:tcPr>
            <w:tcW w:w="1560" w:type="dxa"/>
            <w:tcBorders>
              <w:top w:val="nil"/>
              <w:left w:val="nil"/>
              <w:bottom w:val="nil"/>
              <w:right w:val="single" w:sz="8" w:space="0" w:color="000000"/>
            </w:tcBorders>
            <w:shd w:val="clear" w:color="auto" w:fill="D9D9D9"/>
            <w:vAlign w:val="bottom"/>
          </w:tcPr>
          <w:p w14:paraId="3306272E"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2,74%</w:t>
            </w:r>
          </w:p>
        </w:tc>
        <w:tc>
          <w:tcPr>
            <w:tcW w:w="1417" w:type="dxa"/>
            <w:tcBorders>
              <w:top w:val="nil"/>
              <w:left w:val="nil"/>
              <w:bottom w:val="nil"/>
              <w:right w:val="single" w:sz="8" w:space="0" w:color="000000"/>
            </w:tcBorders>
            <w:shd w:val="clear" w:color="auto" w:fill="D9D9D9"/>
            <w:vAlign w:val="bottom"/>
          </w:tcPr>
          <w:p w14:paraId="0E19E85B"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2,58%</w:t>
            </w:r>
          </w:p>
        </w:tc>
      </w:tr>
      <w:tr w:rsidR="00572AD5" w14:paraId="2BA80A47" w14:textId="77777777">
        <w:trPr>
          <w:trHeight w:val="315"/>
        </w:trPr>
        <w:tc>
          <w:tcPr>
            <w:tcW w:w="3534" w:type="dxa"/>
            <w:tcBorders>
              <w:top w:val="nil"/>
              <w:left w:val="single" w:sz="8" w:space="0" w:color="000000"/>
              <w:bottom w:val="nil"/>
              <w:right w:val="nil"/>
            </w:tcBorders>
            <w:shd w:val="clear" w:color="auto" w:fill="auto"/>
            <w:vAlign w:val="bottom"/>
          </w:tcPr>
          <w:p w14:paraId="26666755"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Mediana</w:t>
            </w:r>
          </w:p>
        </w:tc>
        <w:tc>
          <w:tcPr>
            <w:tcW w:w="1365" w:type="dxa"/>
            <w:tcBorders>
              <w:top w:val="nil"/>
              <w:left w:val="nil"/>
              <w:bottom w:val="nil"/>
              <w:right w:val="single" w:sz="8" w:space="0" w:color="000000"/>
            </w:tcBorders>
            <w:shd w:val="clear" w:color="auto" w:fill="auto"/>
            <w:vAlign w:val="bottom"/>
          </w:tcPr>
          <w:p w14:paraId="4196F01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2,42%</w:t>
            </w:r>
          </w:p>
        </w:tc>
        <w:tc>
          <w:tcPr>
            <w:tcW w:w="1612" w:type="dxa"/>
            <w:tcBorders>
              <w:top w:val="nil"/>
              <w:left w:val="nil"/>
              <w:bottom w:val="nil"/>
              <w:right w:val="single" w:sz="8" w:space="0" w:color="000000"/>
            </w:tcBorders>
            <w:shd w:val="clear" w:color="auto" w:fill="auto"/>
            <w:vAlign w:val="bottom"/>
          </w:tcPr>
          <w:p w14:paraId="56863FE8"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c>
          <w:tcPr>
            <w:tcW w:w="1560" w:type="dxa"/>
            <w:tcBorders>
              <w:top w:val="nil"/>
              <w:left w:val="nil"/>
              <w:bottom w:val="nil"/>
              <w:right w:val="single" w:sz="8" w:space="0" w:color="000000"/>
            </w:tcBorders>
            <w:shd w:val="clear" w:color="auto" w:fill="auto"/>
            <w:vAlign w:val="bottom"/>
          </w:tcPr>
          <w:p w14:paraId="774E8A0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2,80%</w:t>
            </w:r>
          </w:p>
        </w:tc>
        <w:tc>
          <w:tcPr>
            <w:tcW w:w="1417" w:type="dxa"/>
            <w:tcBorders>
              <w:top w:val="nil"/>
              <w:left w:val="nil"/>
              <w:bottom w:val="nil"/>
              <w:right w:val="single" w:sz="8" w:space="0" w:color="000000"/>
            </w:tcBorders>
            <w:shd w:val="clear" w:color="auto" w:fill="auto"/>
            <w:vAlign w:val="bottom"/>
          </w:tcPr>
          <w:p w14:paraId="1B12648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r>
      <w:tr w:rsidR="00572AD5" w14:paraId="2666B305" w14:textId="77777777">
        <w:trPr>
          <w:trHeight w:val="330"/>
        </w:trPr>
        <w:tc>
          <w:tcPr>
            <w:tcW w:w="3534" w:type="dxa"/>
            <w:tcBorders>
              <w:top w:val="nil"/>
              <w:left w:val="single" w:sz="8" w:space="0" w:color="000000"/>
              <w:bottom w:val="nil"/>
              <w:right w:val="nil"/>
            </w:tcBorders>
            <w:shd w:val="clear" w:color="auto" w:fill="D9D9D9"/>
            <w:vAlign w:val="bottom"/>
          </w:tcPr>
          <w:p w14:paraId="689F2134"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Moda</w:t>
            </w:r>
          </w:p>
        </w:tc>
        <w:tc>
          <w:tcPr>
            <w:tcW w:w="1365" w:type="dxa"/>
            <w:tcBorders>
              <w:top w:val="nil"/>
              <w:left w:val="nil"/>
              <w:bottom w:val="nil"/>
              <w:right w:val="single" w:sz="8" w:space="0" w:color="000000"/>
            </w:tcBorders>
            <w:shd w:val="clear" w:color="auto" w:fill="D9D9D9"/>
            <w:vAlign w:val="bottom"/>
          </w:tcPr>
          <w:p w14:paraId="3BC9B8CF"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 </w:t>
            </w:r>
          </w:p>
        </w:tc>
        <w:tc>
          <w:tcPr>
            <w:tcW w:w="1612" w:type="dxa"/>
            <w:tcBorders>
              <w:top w:val="nil"/>
              <w:left w:val="nil"/>
              <w:bottom w:val="nil"/>
              <w:right w:val="single" w:sz="8" w:space="0" w:color="000000"/>
            </w:tcBorders>
            <w:shd w:val="clear" w:color="auto" w:fill="D9D9D9"/>
            <w:vAlign w:val="bottom"/>
          </w:tcPr>
          <w:p w14:paraId="44C3ACC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2,40%</w:t>
            </w:r>
          </w:p>
        </w:tc>
        <w:tc>
          <w:tcPr>
            <w:tcW w:w="1560" w:type="dxa"/>
            <w:tcBorders>
              <w:top w:val="nil"/>
              <w:left w:val="nil"/>
              <w:bottom w:val="nil"/>
              <w:right w:val="single" w:sz="8" w:space="0" w:color="000000"/>
            </w:tcBorders>
            <w:shd w:val="clear" w:color="auto" w:fill="D9D9D9"/>
            <w:vAlign w:val="bottom"/>
          </w:tcPr>
          <w:p w14:paraId="21C7FE0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3,00%</w:t>
            </w:r>
          </w:p>
        </w:tc>
        <w:tc>
          <w:tcPr>
            <w:tcW w:w="1417" w:type="dxa"/>
            <w:tcBorders>
              <w:top w:val="nil"/>
              <w:left w:val="nil"/>
              <w:bottom w:val="nil"/>
              <w:right w:val="single" w:sz="8" w:space="0" w:color="000000"/>
            </w:tcBorders>
            <w:shd w:val="clear" w:color="auto" w:fill="D9D9D9"/>
            <w:vAlign w:val="bottom"/>
          </w:tcPr>
          <w:p w14:paraId="1068FAB5"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r>
      <w:tr w:rsidR="00572AD5" w14:paraId="7509F314" w14:textId="77777777">
        <w:trPr>
          <w:trHeight w:val="315"/>
        </w:trPr>
        <w:tc>
          <w:tcPr>
            <w:tcW w:w="9488" w:type="dxa"/>
            <w:gridSpan w:val="5"/>
            <w:tcBorders>
              <w:top w:val="single" w:sz="8" w:space="0" w:color="000000"/>
              <w:left w:val="single" w:sz="8" w:space="0" w:color="000000"/>
              <w:bottom w:val="nil"/>
              <w:right w:val="nil"/>
            </w:tcBorders>
            <w:shd w:val="clear" w:color="auto" w:fill="auto"/>
            <w:vAlign w:val="bottom"/>
          </w:tcPr>
          <w:p w14:paraId="4CEE824F" w14:textId="77777777" w:rsidR="00572AD5" w:rsidRDefault="00000000">
            <w:pPr>
              <w:jc w:val="cente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De dispersión</w:t>
            </w:r>
          </w:p>
        </w:tc>
      </w:tr>
      <w:tr w:rsidR="00572AD5" w14:paraId="494AA154" w14:textId="77777777">
        <w:trPr>
          <w:trHeight w:val="315"/>
        </w:trPr>
        <w:tc>
          <w:tcPr>
            <w:tcW w:w="3534" w:type="dxa"/>
            <w:tcBorders>
              <w:top w:val="nil"/>
              <w:left w:val="single" w:sz="8" w:space="0" w:color="000000"/>
              <w:bottom w:val="nil"/>
              <w:right w:val="nil"/>
            </w:tcBorders>
            <w:shd w:val="clear" w:color="auto" w:fill="D9D9D9"/>
            <w:vAlign w:val="bottom"/>
          </w:tcPr>
          <w:p w14:paraId="19BF3310"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Desviación estándar</w:t>
            </w:r>
          </w:p>
        </w:tc>
        <w:tc>
          <w:tcPr>
            <w:tcW w:w="1365" w:type="dxa"/>
            <w:tcBorders>
              <w:top w:val="nil"/>
              <w:left w:val="nil"/>
              <w:bottom w:val="nil"/>
              <w:right w:val="single" w:sz="8" w:space="0" w:color="000000"/>
            </w:tcBorders>
            <w:shd w:val="clear" w:color="auto" w:fill="D9D9D9"/>
            <w:vAlign w:val="bottom"/>
          </w:tcPr>
          <w:p w14:paraId="5716BCC3"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0,44%</w:t>
            </w:r>
          </w:p>
        </w:tc>
        <w:tc>
          <w:tcPr>
            <w:tcW w:w="1612" w:type="dxa"/>
            <w:tcBorders>
              <w:top w:val="nil"/>
              <w:left w:val="nil"/>
              <w:bottom w:val="nil"/>
              <w:right w:val="single" w:sz="8" w:space="0" w:color="000000"/>
            </w:tcBorders>
            <w:shd w:val="clear" w:color="auto" w:fill="D9D9D9"/>
            <w:vAlign w:val="bottom"/>
          </w:tcPr>
          <w:p w14:paraId="1E54576A"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0,40%</w:t>
            </w:r>
          </w:p>
        </w:tc>
        <w:tc>
          <w:tcPr>
            <w:tcW w:w="1560" w:type="dxa"/>
            <w:tcBorders>
              <w:top w:val="nil"/>
              <w:left w:val="nil"/>
              <w:bottom w:val="nil"/>
              <w:right w:val="single" w:sz="8" w:space="0" w:color="000000"/>
            </w:tcBorders>
            <w:shd w:val="clear" w:color="auto" w:fill="D9D9D9"/>
            <w:vAlign w:val="bottom"/>
          </w:tcPr>
          <w:p w14:paraId="24AA376E"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0,57%</w:t>
            </w:r>
          </w:p>
        </w:tc>
        <w:tc>
          <w:tcPr>
            <w:tcW w:w="1417" w:type="dxa"/>
            <w:tcBorders>
              <w:top w:val="nil"/>
              <w:left w:val="nil"/>
              <w:bottom w:val="nil"/>
              <w:right w:val="single" w:sz="8" w:space="0" w:color="000000"/>
            </w:tcBorders>
            <w:shd w:val="clear" w:color="auto" w:fill="D9D9D9"/>
            <w:vAlign w:val="bottom"/>
          </w:tcPr>
          <w:p w14:paraId="311D3A1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0,30%</w:t>
            </w:r>
          </w:p>
        </w:tc>
      </w:tr>
      <w:tr w:rsidR="00572AD5" w14:paraId="52F131BC" w14:textId="77777777">
        <w:trPr>
          <w:trHeight w:val="315"/>
        </w:trPr>
        <w:tc>
          <w:tcPr>
            <w:tcW w:w="3534" w:type="dxa"/>
            <w:tcBorders>
              <w:top w:val="nil"/>
              <w:left w:val="single" w:sz="8" w:space="0" w:color="000000"/>
              <w:bottom w:val="nil"/>
              <w:right w:val="nil"/>
            </w:tcBorders>
            <w:shd w:val="clear" w:color="auto" w:fill="auto"/>
            <w:vAlign w:val="bottom"/>
          </w:tcPr>
          <w:p w14:paraId="4F1C01F6"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Coeficiente de variación</w:t>
            </w:r>
          </w:p>
        </w:tc>
        <w:tc>
          <w:tcPr>
            <w:tcW w:w="1365" w:type="dxa"/>
            <w:tcBorders>
              <w:top w:val="nil"/>
              <w:left w:val="nil"/>
              <w:bottom w:val="nil"/>
              <w:right w:val="single" w:sz="8" w:space="0" w:color="000000"/>
            </w:tcBorders>
            <w:shd w:val="clear" w:color="auto" w:fill="auto"/>
            <w:vAlign w:val="bottom"/>
          </w:tcPr>
          <w:p w14:paraId="00840A2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18,23</w:t>
            </w:r>
          </w:p>
        </w:tc>
        <w:tc>
          <w:tcPr>
            <w:tcW w:w="1612" w:type="dxa"/>
            <w:tcBorders>
              <w:top w:val="nil"/>
              <w:left w:val="nil"/>
              <w:bottom w:val="nil"/>
              <w:right w:val="single" w:sz="8" w:space="0" w:color="000000"/>
            </w:tcBorders>
            <w:shd w:val="clear" w:color="auto" w:fill="auto"/>
            <w:vAlign w:val="bottom"/>
          </w:tcPr>
          <w:p w14:paraId="6486D841"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15,33</w:t>
            </w:r>
          </w:p>
        </w:tc>
        <w:tc>
          <w:tcPr>
            <w:tcW w:w="1560" w:type="dxa"/>
            <w:tcBorders>
              <w:top w:val="nil"/>
              <w:left w:val="nil"/>
              <w:bottom w:val="nil"/>
              <w:right w:val="single" w:sz="8" w:space="0" w:color="000000"/>
            </w:tcBorders>
            <w:shd w:val="clear" w:color="auto" w:fill="auto"/>
            <w:vAlign w:val="bottom"/>
          </w:tcPr>
          <w:p w14:paraId="24231E24"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20,73</w:t>
            </w:r>
          </w:p>
        </w:tc>
        <w:tc>
          <w:tcPr>
            <w:tcW w:w="1417" w:type="dxa"/>
            <w:tcBorders>
              <w:top w:val="nil"/>
              <w:left w:val="nil"/>
              <w:bottom w:val="nil"/>
              <w:right w:val="single" w:sz="8" w:space="0" w:color="000000"/>
            </w:tcBorders>
            <w:shd w:val="clear" w:color="auto" w:fill="auto"/>
            <w:vAlign w:val="bottom"/>
          </w:tcPr>
          <w:p w14:paraId="724818ED"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11,52</w:t>
            </w:r>
          </w:p>
        </w:tc>
      </w:tr>
      <w:tr w:rsidR="00572AD5" w14:paraId="3CC02BCD" w14:textId="77777777">
        <w:trPr>
          <w:trHeight w:val="315"/>
        </w:trPr>
        <w:tc>
          <w:tcPr>
            <w:tcW w:w="3534" w:type="dxa"/>
            <w:tcBorders>
              <w:top w:val="nil"/>
              <w:left w:val="single" w:sz="8" w:space="0" w:color="000000"/>
              <w:bottom w:val="nil"/>
              <w:right w:val="nil"/>
            </w:tcBorders>
            <w:shd w:val="clear" w:color="auto" w:fill="D9D9D9"/>
            <w:vAlign w:val="bottom"/>
          </w:tcPr>
          <w:p w14:paraId="0A0DDA08"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Mínimo</w:t>
            </w:r>
          </w:p>
        </w:tc>
        <w:tc>
          <w:tcPr>
            <w:tcW w:w="1365" w:type="dxa"/>
            <w:tcBorders>
              <w:top w:val="nil"/>
              <w:left w:val="nil"/>
              <w:bottom w:val="nil"/>
              <w:right w:val="single" w:sz="8" w:space="0" w:color="000000"/>
            </w:tcBorders>
            <w:shd w:val="clear" w:color="auto" w:fill="D9D9D9"/>
            <w:vAlign w:val="bottom"/>
          </w:tcPr>
          <w:p w14:paraId="50722B7D"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1,40%</w:t>
            </w:r>
          </w:p>
        </w:tc>
        <w:tc>
          <w:tcPr>
            <w:tcW w:w="1612" w:type="dxa"/>
            <w:tcBorders>
              <w:top w:val="nil"/>
              <w:left w:val="nil"/>
              <w:bottom w:val="nil"/>
              <w:right w:val="single" w:sz="8" w:space="0" w:color="000000"/>
            </w:tcBorders>
            <w:shd w:val="clear" w:color="auto" w:fill="D9D9D9"/>
            <w:vAlign w:val="bottom"/>
          </w:tcPr>
          <w:p w14:paraId="46FB384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1,70%</w:t>
            </w:r>
          </w:p>
        </w:tc>
        <w:tc>
          <w:tcPr>
            <w:tcW w:w="1560" w:type="dxa"/>
            <w:tcBorders>
              <w:top w:val="nil"/>
              <w:left w:val="nil"/>
              <w:bottom w:val="nil"/>
              <w:right w:val="single" w:sz="8" w:space="0" w:color="000000"/>
            </w:tcBorders>
            <w:shd w:val="clear" w:color="auto" w:fill="D9D9D9"/>
            <w:vAlign w:val="bottom"/>
          </w:tcPr>
          <w:p w14:paraId="2EAB85F1"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1,60%</w:t>
            </w:r>
          </w:p>
        </w:tc>
        <w:tc>
          <w:tcPr>
            <w:tcW w:w="1417" w:type="dxa"/>
            <w:tcBorders>
              <w:top w:val="nil"/>
              <w:left w:val="nil"/>
              <w:bottom w:val="nil"/>
              <w:right w:val="single" w:sz="8" w:space="0" w:color="000000"/>
            </w:tcBorders>
            <w:shd w:val="clear" w:color="auto" w:fill="D9D9D9"/>
            <w:vAlign w:val="bottom"/>
          </w:tcPr>
          <w:p w14:paraId="053E293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1,80%</w:t>
            </w:r>
          </w:p>
        </w:tc>
      </w:tr>
      <w:tr w:rsidR="00572AD5" w14:paraId="3CE9F999" w14:textId="77777777">
        <w:trPr>
          <w:trHeight w:val="330"/>
        </w:trPr>
        <w:tc>
          <w:tcPr>
            <w:tcW w:w="3534" w:type="dxa"/>
            <w:tcBorders>
              <w:top w:val="nil"/>
              <w:left w:val="single" w:sz="8" w:space="0" w:color="000000"/>
              <w:bottom w:val="single" w:sz="4" w:space="0" w:color="000000"/>
              <w:right w:val="nil"/>
            </w:tcBorders>
            <w:shd w:val="clear" w:color="auto" w:fill="auto"/>
            <w:vAlign w:val="bottom"/>
          </w:tcPr>
          <w:p w14:paraId="335D24E0"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Máximo</w:t>
            </w:r>
          </w:p>
        </w:tc>
        <w:tc>
          <w:tcPr>
            <w:tcW w:w="1365" w:type="dxa"/>
            <w:tcBorders>
              <w:top w:val="nil"/>
              <w:left w:val="nil"/>
              <w:bottom w:val="single" w:sz="4" w:space="0" w:color="000000"/>
              <w:right w:val="single" w:sz="8" w:space="0" w:color="000000"/>
            </w:tcBorders>
            <w:shd w:val="clear" w:color="auto" w:fill="auto"/>
            <w:vAlign w:val="bottom"/>
          </w:tcPr>
          <w:p w14:paraId="175C7135"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3,00%</w:t>
            </w:r>
          </w:p>
        </w:tc>
        <w:tc>
          <w:tcPr>
            <w:tcW w:w="1612" w:type="dxa"/>
            <w:tcBorders>
              <w:top w:val="nil"/>
              <w:left w:val="nil"/>
              <w:bottom w:val="single" w:sz="4" w:space="0" w:color="000000"/>
              <w:right w:val="single" w:sz="8" w:space="0" w:color="000000"/>
            </w:tcBorders>
            <w:shd w:val="clear" w:color="auto" w:fill="auto"/>
            <w:vAlign w:val="bottom"/>
          </w:tcPr>
          <w:p w14:paraId="506FAAD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3,35%</w:t>
            </w:r>
          </w:p>
        </w:tc>
        <w:tc>
          <w:tcPr>
            <w:tcW w:w="1560" w:type="dxa"/>
            <w:tcBorders>
              <w:top w:val="nil"/>
              <w:left w:val="nil"/>
              <w:bottom w:val="single" w:sz="4" w:space="0" w:color="000000"/>
              <w:right w:val="single" w:sz="8" w:space="0" w:color="000000"/>
            </w:tcBorders>
            <w:shd w:val="clear" w:color="auto" w:fill="auto"/>
            <w:vAlign w:val="bottom"/>
          </w:tcPr>
          <w:p w14:paraId="66F9B080"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4,39%</w:t>
            </w:r>
          </w:p>
        </w:tc>
        <w:tc>
          <w:tcPr>
            <w:tcW w:w="1417" w:type="dxa"/>
            <w:tcBorders>
              <w:top w:val="nil"/>
              <w:left w:val="nil"/>
              <w:bottom w:val="single" w:sz="4" w:space="0" w:color="000000"/>
              <w:right w:val="single" w:sz="8" w:space="0" w:color="000000"/>
            </w:tcBorders>
            <w:shd w:val="clear" w:color="auto" w:fill="auto"/>
            <w:vAlign w:val="bottom"/>
          </w:tcPr>
          <w:p w14:paraId="13F519C3"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3,20%</w:t>
            </w:r>
          </w:p>
        </w:tc>
      </w:tr>
      <w:tr w:rsidR="00572AD5" w14:paraId="7C1349A6" w14:textId="77777777">
        <w:trPr>
          <w:trHeight w:val="330"/>
        </w:trPr>
        <w:tc>
          <w:tcPr>
            <w:tcW w:w="35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7193F6A" w14:textId="77777777" w:rsidR="00572AD5" w:rsidRDefault="00000000">
            <w:pP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Número de participantes</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EA2C7BC"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D54572"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1D61190"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6C9169"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37</w:t>
            </w:r>
          </w:p>
        </w:tc>
      </w:tr>
      <w:tr w:rsidR="00572AD5" w14:paraId="7AF57945" w14:textId="77777777">
        <w:trPr>
          <w:trHeight w:val="330"/>
        </w:trPr>
        <w:tc>
          <w:tcPr>
            <w:tcW w:w="3534" w:type="dxa"/>
            <w:tcBorders>
              <w:top w:val="single" w:sz="4" w:space="0" w:color="000000"/>
            </w:tcBorders>
            <w:shd w:val="clear" w:color="auto" w:fill="auto"/>
            <w:vAlign w:val="bottom"/>
          </w:tcPr>
          <w:p w14:paraId="0AFD63B6" w14:textId="77777777" w:rsidR="00572AD5" w:rsidRDefault="00572AD5">
            <w:pPr>
              <w:rPr>
                <w:rFonts w:ascii="Aptos Narrow" w:eastAsia="Aptos Narrow" w:hAnsi="Aptos Narrow" w:cs="Aptos Narrow"/>
                <w:b/>
                <w:color w:val="000000"/>
                <w:sz w:val="20"/>
                <w:szCs w:val="20"/>
              </w:rPr>
            </w:pPr>
          </w:p>
          <w:p w14:paraId="35E70114" w14:textId="77777777" w:rsidR="00572AD5" w:rsidRDefault="00572AD5">
            <w:pPr>
              <w:rPr>
                <w:rFonts w:ascii="Aptos Narrow" w:eastAsia="Aptos Narrow" w:hAnsi="Aptos Narrow" w:cs="Aptos Narrow"/>
                <w:b/>
                <w:color w:val="000000"/>
                <w:sz w:val="20"/>
                <w:szCs w:val="20"/>
              </w:rPr>
            </w:pPr>
          </w:p>
          <w:p w14:paraId="7A212C70" w14:textId="77777777" w:rsidR="00572AD5" w:rsidRDefault="00572AD5">
            <w:pPr>
              <w:rPr>
                <w:rFonts w:ascii="Aptos Narrow" w:eastAsia="Aptos Narrow" w:hAnsi="Aptos Narrow" w:cs="Aptos Narrow"/>
                <w:b/>
                <w:color w:val="000000"/>
                <w:sz w:val="20"/>
                <w:szCs w:val="20"/>
              </w:rPr>
            </w:pPr>
          </w:p>
        </w:tc>
        <w:tc>
          <w:tcPr>
            <w:tcW w:w="1365" w:type="dxa"/>
            <w:tcBorders>
              <w:top w:val="single" w:sz="4" w:space="0" w:color="000000"/>
            </w:tcBorders>
            <w:shd w:val="clear" w:color="auto" w:fill="auto"/>
            <w:vAlign w:val="bottom"/>
          </w:tcPr>
          <w:p w14:paraId="65B2AC29" w14:textId="77777777" w:rsidR="00572AD5" w:rsidRDefault="00572AD5">
            <w:pPr>
              <w:jc w:val="center"/>
              <w:rPr>
                <w:rFonts w:ascii="Aptos Narrow" w:eastAsia="Aptos Narrow" w:hAnsi="Aptos Narrow" w:cs="Aptos Narrow"/>
                <w:b/>
                <w:sz w:val="20"/>
                <w:szCs w:val="20"/>
              </w:rPr>
            </w:pPr>
          </w:p>
        </w:tc>
        <w:tc>
          <w:tcPr>
            <w:tcW w:w="1612" w:type="dxa"/>
            <w:tcBorders>
              <w:top w:val="single" w:sz="4" w:space="0" w:color="000000"/>
            </w:tcBorders>
            <w:shd w:val="clear" w:color="auto" w:fill="auto"/>
            <w:vAlign w:val="bottom"/>
          </w:tcPr>
          <w:p w14:paraId="12839B41" w14:textId="77777777" w:rsidR="00572AD5" w:rsidRDefault="00572AD5">
            <w:pPr>
              <w:jc w:val="center"/>
              <w:rPr>
                <w:rFonts w:ascii="Aptos Narrow" w:eastAsia="Aptos Narrow" w:hAnsi="Aptos Narrow" w:cs="Aptos Narrow"/>
                <w:b/>
                <w:sz w:val="20"/>
                <w:szCs w:val="20"/>
              </w:rPr>
            </w:pPr>
          </w:p>
        </w:tc>
        <w:tc>
          <w:tcPr>
            <w:tcW w:w="1560" w:type="dxa"/>
            <w:tcBorders>
              <w:top w:val="single" w:sz="4" w:space="0" w:color="000000"/>
            </w:tcBorders>
            <w:shd w:val="clear" w:color="auto" w:fill="auto"/>
            <w:vAlign w:val="bottom"/>
          </w:tcPr>
          <w:p w14:paraId="5DE7D7D7" w14:textId="77777777" w:rsidR="00572AD5" w:rsidRDefault="00572AD5">
            <w:pPr>
              <w:jc w:val="center"/>
              <w:rPr>
                <w:rFonts w:ascii="Aptos Narrow" w:eastAsia="Aptos Narrow" w:hAnsi="Aptos Narrow" w:cs="Aptos Narrow"/>
                <w:b/>
                <w:sz w:val="20"/>
                <w:szCs w:val="20"/>
              </w:rPr>
            </w:pPr>
          </w:p>
        </w:tc>
        <w:tc>
          <w:tcPr>
            <w:tcW w:w="1417" w:type="dxa"/>
            <w:tcBorders>
              <w:top w:val="single" w:sz="4" w:space="0" w:color="000000"/>
            </w:tcBorders>
            <w:shd w:val="clear" w:color="auto" w:fill="auto"/>
            <w:vAlign w:val="bottom"/>
          </w:tcPr>
          <w:p w14:paraId="22503B08" w14:textId="77777777" w:rsidR="00572AD5" w:rsidRDefault="00572AD5">
            <w:pPr>
              <w:jc w:val="center"/>
              <w:rPr>
                <w:rFonts w:ascii="Aptos Narrow" w:eastAsia="Aptos Narrow" w:hAnsi="Aptos Narrow" w:cs="Aptos Narrow"/>
                <w:b/>
                <w:sz w:val="20"/>
                <w:szCs w:val="20"/>
              </w:rPr>
            </w:pPr>
          </w:p>
        </w:tc>
      </w:tr>
    </w:tbl>
    <w:p w14:paraId="363A4454" w14:textId="77777777" w:rsidR="00572AD5" w:rsidRDefault="00572AD5">
      <w:pPr>
        <w:widowControl w:val="0"/>
        <w:pBdr>
          <w:top w:val="nil"/>
          <w:left w:val="nil"/>
          <w:bottom w:val="nil"/>
          <w:right w:val="nil"/>
          <w:between w:val="nil"/>
        </w:pBdr>
        <w:spacing w:line="276" w:lineRule="auto"/>
        <w:rPr>
          <w:rFonts w:ascii="Aptos Narrow" w:eastAsia="Aptos Narrow" w:hAnsi="Aptos Narrow" w:cs="Aptos Narrow"/>
          <w:b/>
          <w:sz w:val="20"/>
          <w:szCs w:val="20"/>
        </w:rPr>
      </w:pPr>
    </w:p>
    <w:tbl>
      <w:tblPr>
        <w:tblStyle w:val="a9"/>
        <w:tblW w:w="94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1701"/>
        <w:gridCol w:w="1417"/>
        <w:gridCol w:w="1559"/>
        <w:gridCol w:w="1559"/>
      </w:tblGrid>
      <w:tr w:rsidR="00572AD5" w14:paraId="0B3F6783" w14:textId="77777777">
        <w:trPr>
          <w:trHeight w:val="375"/>
        </w:trPr>
        <w:tc>
          <w:tcPr>
            <w:tcW w:w="9497" w:type="dxa"/>
            <w:gridSpan w:val="5"/>
          </w:tcPr>
          <w:p w14:paraId="745C1285"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RESULTADOS DE LA ENCUESTA MENSUAL DE EXPECTATIVAS ECONOMICAS</w:t>
            </w:r>
          </w:p>
        </w:tc>
      </w:tr>
      <w:tr w:rsidR="00572AD5" w14:paraId="426F791F" w14:textId="77777777">
        <w:trPr>
          <w:trHeight w:val="330"/>
        </w:trPr>
        <w:tc>
          <w:tcPr>
            <w:tcW w:w="9497" w:type="dxa"/>
            <w:gridSpan w:val="5"/>
          </w:tcPr>
          <w:p w14:paraId="1A72D559"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Fecha de realización: del 10 de enero al 14 de enero de 2025</w:t>
            </w:r>
          </w:p>
        </w:tc>
      </w:tr>
      <w:tr w:rsidR="00572AD5" w14:paraId="6058E05F" w14:textId="77777777">
        <w:trPr>
          <w:trHeight w:val="330"/>
        </w:trPr>
        <w:tc>
          <w:tcPr>
            <w:tcW w:w="3261" w:type="dxa"/>
          </w:tcPr>
          <w:p w14:paraId="4986602B"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 </w:t>
            </w:r>
          </w:p>
        </w:tc>
        <w:tc>
          <w:tcPr>
            <w:tcW w:w="6236" w:type="dxa"/>
            <w:gridSpan w:val="4"/>
            <w:shd w:val="clear" w:color="auto" w:fill="BF8F00"/>
          </w:tcPr>
          <w:p w14:paraId="43243D85" w14:textId="77777777" w:rsidR="00572AD5" w:rsidRDefault="00000000">
            <w:pPr>
              <w:spacing w:line="276" w:lineRule="auto"/>
              <w:jc w:val="center"/>
              <w:rPr>
                <w:rFonts w:ascii="Arial" w:eastAsia="Arial" w:hAnsi="Arial" w:cs="Arial"/>
                <w:b/>
                <w:sz w:val="16"/>
                <w:szCs w:val="16"/>
              </w:rPr>
            </w:pPr>
            <w:r>
              <w:rPr>
                <w:rFonts w:ascii="Arial" w:eastAsia="Arial" w:hAnsi="Arial" w:cs="Arial"/>
                <w:b/>
                <w:color w:val="FFFFFF"/>
                <w:sz w:val="16"/>
                <w:szCs w:val="16"/>
              </w:rPr>
              <w:t>Expectativas de desempleo</w:t>
            </w:r>
          </w:p>
        </w:tc>
      </w:tr>
      <w:tr w:rsidR="00572AD5" w14:paraId="5015D26C" w14:textId="77777777">
        <w:trPr>
          <w:trHeight w:val="615"/>
        </w:trPr>
        <w:tc>
          <w:tcPr>
            <w:tcW w:w="3261" w:type="dxa"/>
          </w:tcPr>
          <w:p w14:paraId="4CA47A2C"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Medidas estadísticas</w:t>
            </w:r>
          </w:p>
        </w:tc>
        <w:tc>
          <w:tcPr>
            <w:tcW w:w="1701" w:type="dxa"/>
            <w:shd w:val="clear" w:color="auto" w:fill="BF8F00"/>
          </w:tcPr>
          <w:p w14:paraId="5CEFC5C5"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 2025</w:t>
            </w:r>
          </w:p>
        </w:tc>
        <w:tc>
          <w:tcPr>
            <w:tcW w:w="1417" w:type="dxa"/>
            <w:shd w:val="clear" w:color="auto" w:fill="BF8F00"/>
          </w:tcPr>
          <w:p w14:paraId="758303F5"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trim-II 2025</w:t>
            </w:r>
          </w:p>
        </w:tc>
        <w:tc>
          <w:tcPr>
            <w:tcW w:w="1559" w:type="dxa"/>
            <w:shd w:val="clear" w:color="auto" w:fill="BF8F00"/>
          </w:tcPr>
          <w:p w14:paraId="3E3BD5B3"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trim-III 2025</w:t>
            </w:r>
          </w:p>
        </w:tc>
        <w:tc>
          <w:tcPr>
            <w:tcW w:w="1559" w:type="dxa"/>
            <w:shd w:val="clear" w:color="auto" w:fill="BF8F00"/>
          </w:tcPr>
          <w:p w14:paraId="18820C12"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trim-IV 2025</w:t>
            </w:r>
          </w:p>
        </w:tc>
      </w:tr>
      <w:tr w:rsidR="00572AD5" w14:paraId="725F6C11" w14:textId="77777777">
        <w:trPr>
          <w:trHeight w:val="330"/>
        </w:trPr>
        <w:tc>
          <w:tcPr>
            <w:tcW w:w="9497" w:type="dxa"/>
            <w:gridSpan w:val="5"/>
          </w:tcPr>
          <w:p w14:paraId="703668CD"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TODAS LAS ENTIDADES PARTICIPANTES</w:t>
            </w:r>
          </w:p>
        </w:tc>
      </w:tr>
      <w:tr w:rsidR="00572AD5" w14:paraId="113F8DDA" w14:textId="77777777">
        <w:trPr>
          <w:trHeight w:val="315"/>
        </w:trPr>
        <w:tc>
          <w:tcPr>
            <w:tcW w:w="9497" w:type="dxa"/>
            <w:gridSpan w:val="5"/>
          </w:tcPr>
          <w:p w14:paraId="51C1C215"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lastRenderedPageBreak/>
              <w:t>De tendencia:</w:t>
            </w:r>
          </w:p>
        </w:tc>
      </w:tr>
      <w:tr w:rsidR="00572AD5" w14:paraId="6F1BA60D" w14:textId="77777777">
        <w:trPr>
          <w:trHeight w:val="315"/>
        </w:trPr>
        <w:tc>
          <w:tcPr>
            <w:tcW w:w="3261" w:type="dxa"/>
          </w:tcPr>
          <w:p w14:paraId="4E319F17"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Media</w:t>
            </w:r>
          </w:p>
        </w:tc>
        <w:tc>
          <w:tcPr>
            <w:tcW w:w="1701" w:type="dxa"/>
          </w:tcPr>
          <w:p w14:paraId="60B1065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10,83%</w:t>
            </w:r>
          </w:p>
        </w:tc>
        <w:tc>
          <w:tcPr>
            <w:tcW w:w="1417" w:type="dxa"/>
          </w:tcPr>
          <w:p w14:paraId="024D921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10,32%</w:t>
            </w:r>
          </w:p>
        </w:tc>
        <w:tc>
          <w:tcPr>
            <w:tcW w:w="1559" w:type="dxa"/>
          </w:tcPr>
          <w:p w14:paraId="74EA96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9,91%</w:t>
            </w:r>
          </w:p>
        </w:tc>
        <w:tc>
          <w:tcPr>
            <w:tcW w:w="1559" w:type="dxa"/>
          </w:tcPr>
          <w:p w14:paraId="668A9FA7"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9,67%</w:t>
            </w:r>
          </w:p>
        </w:tc>
      </w:tr>
      <w:tr w:rsidR="00572AD5" w14:paraId="5DAB2531" w14:textId="77777777">
        <w:trPr>
          <w:trHeight w:val="315"/>
        </w:trPr>
        <w:tc>
          <w:tcPr>
            <w:tcW w:w="3261" w:type="dxa"/>
          </w:tcPr>
          <w:p w14:paraId="12BE3F81"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Mediana</w:t>
            </w:r>
          </w:p>
        </w:tc>
        <w:tc>
          <w:tcPr>
            <w:tcW w:w="1701" w:type="dxa"/>
          </w:tcPr>
          <w:p w14:paraId="2796F83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10,87%</w:t>
            </w:r>
          </w:p>
        </w:tc>
        <w:tc>
          <w:tcPr>
            <w:tcW w:w="1417" w:type="dxa"/>
          </w:tcPr>
          <w:p w14:paraId="65BDA4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10,30%</w:t>
            </w:r>
          </w:p>
        </w:tc>
        <w:tc>
          <w:tcPr>
            <w:tcW w:w="1559" w:type="dxa"/>
          </w:tcPr>
          <w:p w14:paraId="374AB461"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9,96%</w:t>
            </w:r>
          </w:p>
        </w:tc>
        <w:tc>
          <w:tcPr>
            <w:tcW w:w="1559" w:type="dxa"/>
          </w:tcPr>
          <w:p w14:paraId="47F6AF2D"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9,80%</w:t>
            </w:r>
          </w:p>
        </w:tc>
      </w:tr>
      <w:tr w:rsidR="00572AD5" w14:paraId="1E153394" w14:textId="77777777">
        <w:trPr>
          <w:trHeight w:val="330"/>
        </w:trPr>
        <w:tc>
          <w:tcPr>
            <w:tcW w:w="3261" w:type="dxa"/>
          </w:tcPr>
          <w:p w14:paraId="09BEAC76"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Moda</w:t>
            </w:r>
          </w:p>
        </w:tc>
        <w:tc>
          <w:tcPr>
            <w:tcW w:w="1701" w:type="dxa"/>
          </w:tcPr>
          <w:p w14:paraId="72EACE4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10,60%</w:t>
            </w:r>
          </w:p>
        </w:tc>
        <w:tc>
          <w:tcPr>
            <w:tcW w:w="1417" w:type="dxa"/>
          </w:tcPr>
          <w:p w14:paraId="34F98351" w14:textId="77777777" w:rsidR="00572AD5" w:rsidRDefault="00572AD5">
            <w:pPr>
              <w:spacing w:line="276" w:lineRule="auto"/>
              <w:jc w:val="center"/>
              <w:rPr>
                <w:rFonts w:ascii="Arial" w:eastAsia="Arial" w:hAnsi="Arial" w:cs="Arial"/>
                <w:sz w:val="16"/>
                <w:szCs w:val="16"/>
              </w:rPr>
            </w:pPr>
          </w:p>
        </w:tc>
        <w:tc>
          <w:tcPr>
            <w:tcW w:w="1559" w:type="dxa"/>
          </w:tcPr>
          <w:p w14:paraId="632F935D" w14:textId="77777777" w:rsidR="00572AD5" w:rsidRDefault="00572AD5">
            <w:pPr>
              <w:spacing w:line="276" w:lineRule="auto"/>
              <w:jc w:val="center"/>
              <w:rPr>
                <w:rFonts w:ascii="Arial" w:eastAsia="Arial" w:hAnsi="Arial" w:cs="Arial"/>
                <w:sz w:val="16"/>
                <w:szCs w:val="16"/>
              </w:rPr>
            </w:pPr>
          </w:p>
        </w:tc>
        <w:tc>
          <w:tcPr>
            <w:tcW w:w="1559" w:type="dxa"/>
          </w:tcPr>
          <w:p w14:paraId="333547EE" w14:textId="77777777" w:rsidR="00572AD5" w:rsidRDefault="00572AD5">
            <w:pPr>
              <w:spacing w:line="276" w:lineRule="auto"/>
              <w:jc w:val="center"/>
              <w:rPr>
                <w:rFonts w:ascii="Arial" w:eastAsia="Arial" w:hAnsi="Arial" w:cs="Arial"/>
                <w:sz w:val="16"/>
                <w:szCs w:val="16"/>
              </w:rPr>
            </w:pPr>
          </w:p>
        </w:tc>
      </w:tr>
      <w:tr w:rsidR="00572AD5" w14:paraId="79C99DC8" w14:textId="77777777">
        <w:trPr>
          <w:trHeight w:val="315"/>
        </w:trPr>
        <w:tc>
          <w:tcPr>
            <w:tcW w:w="9497" w:type="dxa"/>
            <w:gridSpan w:val="5"/>
          </w:tcPr>
          <w:p w14:paraId="2E687E7F"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De dispersión</w:t>
            </w:r>
          </w:p>
        </w:tc>
      </w:tr>
      <w:tr w:rsidR="00572AD5" w14:paraId="6CA9FD52" w14:textId="77777777">
        <w:trPr>
          <w:trHeight w:val="315"/>
        </w:trPr>
        <w:tc>
          <w:tcPr>
            <w:tcW w:w="3261" w:type="dxa"/>
          </w:tcPr>
          <w:p w14:paraId="46B70515"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Desviación estándar</w:t>
            </w:r>
          </w:p>
        </w:tc>
        <w:tc>
          <w:tcPr>
            <w:tcW w:w="1701" w:type="dxa"/>
          </w:tcPr>
          <w:p w14:paraId="764AC12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0,66%</w:t>
            </w:r>
          </w:p>
        </w:tc>
        <w:tc>
          <w:tcPr>
            <w:tcW w:w="1417" w:type="dxa"/>
          </w:tcPr>
          <w:p w14:paraId="2CE1F7A6"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0,45%</w:t>
            </w:r>
          </w:p>
        </w:tc>
        <w:tc>
          <w:tcPr>
            <w:tcW w:w="1559" w:type="dxa"/>
          </w:tcPr>
          <w:p w14:paraId="73E6718B"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0,53%</w:t>
            </w:r>
          </w:p>
        </w:tc>
        <w:tc>
          <w:tcPr>
            <w:tcW w:w="1559" w:type="dxa"/>
          </w:tcPr>
          <w:p w14:paraId="6A9EE452"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0,66%</w:t>
            </w:r>
          </w:p>
        </w:tc>
      </w:tr>
      <w:tr w:rsidR="00572AD5" w14:paraId="6BAEC171" w14:textId="77777777">
        <w:trPr>
          <w:trHeight w:val="315"/>
        </w:trPr>
        <w:tc>
          <w:tcPr>
            <w:tcW w:w="3261" w:type="dxa"/>
          </w:tcPr>
          <w:p w14:paraId="50682355"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Coeficiente de variación</w:t>
            </w:r>
          </w:p>
        </w:tc>
        <w:tc>
          <w:tcPr>
            <w:tcW w:w="1701" w:type="dxa"/>
          </w:tcPr>
          <w:p w14:paraId="46204720"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6,09</w:t>
            </w:r>
          </w:p>
        </w:tc>
        <w:tc>
          <w:tcPr>
            <w:tcW w:w="1417" w:type="dxa"/>
          </w:tcPr>
          <w:p w14:paraId="5F5568E5"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4,34</w:t>
            </w:r>
          </w:p>
        </w:tc>
        <w:tc>
          <w:tcPr>
            <w:tcW w:w="1559" w:type="dxa"/>
          </w:tcPr>
          <w:p w14:paraId="6AA603F6"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5,37</w:t>
            </w:r>
          </w:p>
        </w:tc>
        <w:tc>
          <w:tcPr>
            <w:tcW w:w="1559" w:type="dxa"/>
          </w:tcPr>
          <w:p w14:paraId="7DF2EE59"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6,83</w:t>
            </w:r>
          </w:p>
        </w:tc>
      </w:tr>
      <w:tr w:rsidR="00572AD5" w14:paraId="28D628D3" w14:textId="77777777">
        <w:trPr>
          <w:trHeight w:val="315"/>
        </w:trPr>
        <w:tc>
          <w:tcPr>
            <w:tcW w:w="3261" w:type="dxa"/>
          </w:tcPr>
          <w:p w14:paraId="2A4008A8"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Mínimo</w:t>
            </w:r>
          </w:p>
        </w:tc>
        <w:tc>
          <w:tcPr>
            <w:tcW w:w="1701" w:type="dxa"/>
          </w:tcPr>
          <w:p w14:paraId="7598F191"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9,74%</w:t>
            </w:r>
          </w:p>
        </w:tc>
        <w:tc>
          <w:tcPr>
            <w:tcW w:w="1417" w:type="dxa"/>
          </w:tcPr>
          <w:p w14:paraId="07782E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9,30%</w:t>
            </w:r>
          </w:p>
        </w:tc>
        <w:tc>
          <w:tcPr>
            <w:tcW w:w="1559" w:type="dxa"/>
          </w:tcPr>
          <w:p w14:paraId="288AA12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8,75%</w:t>
            </w:r>
          </w:p>
        </w:tc>
        <w:tc>
          <w:tcPr>
            <w:tcW w:w="1559" w:type="dxa"/>
          </w:tcPr>
          <w:p w14:paraId="695624FF"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8,30%</w:t>
            </w:r>
          </w:p>
        </w:tc>
      </w:tr>
      <w:tr w:rsidR="00572AD5" w14:paraId="347820FD" w14:textId="77777777">
        <w:trPr>
          <w:trHeight w:val="330"/>
        </w:trPr>
        <w:tc>
          <w:tcPr>
            <w:tcW w:w="3261" w:type="dxa"/>
          </w:tcPr>
          <w:p w14:paraId="3AE8E67E"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Máximo</w:t>
            </w:r>
          </w:p>
        </w:tc>
        <w:tc>
          <w:tcPr>
            <w:tcW w:w="1701" w:type="dxa"/>
          </w:tcPr>
          <w:p w14:paraId="13DF4053"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12,30%</w:t>
            </w:r>
          </w:p>
        </w:tc>
        <w:tc>
          <w:tcPr>
            <w:tcW w:w="1417" w:type="dxa"/>
          </w:tcPr>
          <w:p w14:paraId="76B36DB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11,00%</w:t>
            </w:r>
          </w:p>
        </w:tc>
        <w:tc>
          <w:tcPr>
            <w:tcW w:w="1559" w:type="dxa"/>
          </w:tcPr>
          <w:p w14:paraId="5C85F7B3"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11,00%</w:t>
            </w:r>
          </w:p>
        </w:tc>
        <w:tc>
          <w:tcPr>
            <w:tcW w:w="1559" w:type="dxa"/>
          </w:tcPr>
          <w:p w14:paraId="1A7C7A9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10,70%</w:t>
            </w:r>
          </w:p>
        </w:tc>
      </w:tr>
      <w:tr w:rsidR="00572AD5" w14:paraId="3B19BF43" w14:textId="77777777">
        <w:trPr>
          <w:trHeight w:val="330"/>
        </w:trPr>
        <w:tc>
          <w:tcPr>
            <w:tcW w:w="3261" w:type="dxa"/>
          </w:tcPr>
          <w:p w14:paraId="7F9668D7"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Número de participantes</w:t>
            </w:r>
          </w:p>
        </w:tc>
        <w:tc>
          <w:tcPr>
            <w:tcW w:w="1701" w:type="dxa"/>
          </w:tcPr>
          <w:p w14:paraId="484105A1"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417" w:type="dxa"/>
          </w:tcPr>
          <w:p w14:paraId="0181BF58"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559" w:type="dxa"/>
          </w:tcPr>
          <w:p w14:paraId="69963BE1"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559" w:type="dxa"/>
          </w:tcPr>
          <w:p w14:paraId="43840752"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21</w:t>
            </w:r>
          </w:p>
        </w:tc>
      </w:tr>
    </w:tbl>
    <w:p w14:paraId="65CB4B73" w14:textId="77777777" w:rsidR="00572AD5" w:rsidRDefault="00000000">
      <w:pPr>
        <w:spacing w:line="276" w:lineRule="auto"/>
        <w:jc w:val="center"/>
        <w:rPr>
          <w:rFonts w:ascii="Arial" w:eastAsia="Arial" w:hAnsi="Arial" w:cs="Arial"/>
          <w:sz w:val="18"/>
          <w:szCs w:val="18"/>
        </w:rPr>
      </w:pPr>
      <w:r>
        <w:rPr>
          <w:rFonts w:ascii="Arial" w:eastAsia="Arial" w:hAnsi="Arial" w:cs="Arial"/>
          <w:sz w:val="18"/>
          <w:szCs w:val="18"/>
        </w:rPr>
        <w:t>Fuente: Banco de la República</w:t>
      </w:r>
    </w:p>
    <w:p w14:paraId="431A5A03" w14:textId="77777777" w:rsidR="00572AD5" w:rsidRDefault="00572AD5">
      <w:pPr>
        <w:spacing w:line="276" w:lineRule="auto"/>
        <w:jc w:val="both"/>
        <w:rPr>
          <w:rFonts w:ascii="Arial" w:eastAsia="Arial" w:hAnsi="Arial" w:cs="Arial"/>
          <w:sz w:val="22"/>
          <w:szCs w:val="22"/>
        </w:rPr>
      </w:pPr>
    </w:p>
    <w:p w14:paraId="64FBF9C2"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Reducción gradual, pero alentadora</w:t>
      </w:r>
    </w:p>
    <w:p w14:paraId="31A96B0F" w14:textId="77777777" w:rsidR="00572AD5" w:rsidRDefault="00572AD5">
      <w:pPr>
        <w:spacing w:line="276" w:lineRule="auto"/>
        <w:jc w:val="both"/>
        <w:rPr>
          <w:rFonts w:ascii="Arial" w:eastAsia="Arial" w:hAnsi="Arial" w:cs="Arial"/>
          <w:sz w:val="22"/>
          <w:szCs w:val="22"/>
        </w:rPr>
      </w:pPr>
    </w:p>
    <w:p w14:paraId="4B7CE14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comportamiento descendente de la inflación es una señal positiva para los colombianos, quienes enfrentarán ajustes controlados en servicios esenciales. Desde el costo del arriendo hasta los recibos de agua, luz y gas, los incrementos estarán sujetos al límite del 5,2 %, brindando un respiro al bolsillo de las familias.</w:t>
      </w:r>
    </w:p>
    <w:p w14:paraId="10DB8843" w14:textId="77777777" w:rsidR="00572AD5" w:rsidRDefault="00572AD5">
      <w:pPr>
        <w:spacing w:line="276" w:lineRule="auto"/>
        <w:jc w:val="both"/>
        <w:rPr>
          <w:rFonts w:ascii="Arial" w:eastAsia="Arial" w:hAnsi="Arial" w:cs="Arial"/>
          <w:sz w:val="22"/>
          <w:szCs w:val="22"/>
        </w:rPr>
      </w:pPr>
    </w:p>
    <w:p w14:paraId="5107248B"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Con esta reducción, Colombia consolida una tendencia que, de mantenerse, acercará al país a los niveles inflacionarios de 2021, cuando el IPC fue del 5,62 %. La meta, sin embargo, sigue siendo alcanzar el 3 %, lo que requerirá mantener políticas económicas que refuercen la estabilidad lograda hasta ahora.</w:t>
      </w:r>
    </w:p>
    <w:p w14:paraId="349E82D5" w14:textId="77777777" w:rsidR="00572AD5" w:rsidRDefault="00572AD5">
      <w:pPr>
        <w:jc w:val="both"/>
        <w:rPr>
          <w:rFonts w:ascii="Arial" w:eastAsia="Arial" w:hAnsi="Arial" w:cs="Arial"/>
        </w:rPr>
      </w:pPr>
    </w:p>
    <w:p w14:paraId="400DED3C" w14:textId="7896BBED" w:rsidR="00572AD5" w:rsidRPr="002C6D1E" w:rsidRDefault="00000000" w:rsidP="002C6D1E">
      <w:pPr>
        <w:pStyle w:val="Prrafodelista"/>
        <w:numPr>
          <w:ilvl w:val="0"/>
          <w:numId w:val="27"/>
        </w:numPr>
        <w:pBdr>
          <w:top w:val="nil"/>
          <w:left w:val="nil"/>
          <w:bottom w:val="nil"/>
          <w:right w:val="nil"/>
          <w:between w:val="nil"/>
        </w:pBdr>
        <w:ind w:right="-1227"/>
        <w:rPr>
          <w:rFonts w:ascii="Arial" w:eastAsia="Arial" w:hAnsi="Arial" w:cs="Arial"/>
          <w:b/>
          <w:color w:val="000000"/>
          <w:sz w:val="22"/>
          <w:szCs w:val="22"/>
        </w:rPr>
      </w:pPr>
      <w:r w:rsidRPr="002C6D1E">
        <w:rPr>
          <w:rFonts w:ascii="Arial" w:eastAsia="Arial" w:hAnsi="Arial" w:cs="Arial"/>
          <w:b/>
          <w:color w:val="000000"/>
          <w:sz w:val="22"/>
          <w:szCs w:val="22"/>
        </w:rPr>
        <w:t>ANÁLISIS DEL MERCADO</w:t>
      </w:r>
    </w:p>
    <w:p w14:paraId="7152F80D" w14:textId="77777777" w:rsidR="00572AD5" w:rsidRDefault="00572AD5">
      <w:pPr>
        <w:pBdr>
          <w:top w:val="nil"/>
          <w:left w:val="nil"/>
          <w:bottom w:val="nil"/>
          <w:right w:val="nil"/>
          <w:between w:val="nil"/>
        </w:pBdr>
        <w:ind w:left="460"/>
        <w:rPr>
          <w:rFonts w:ascii="Arial" w:eastAsia="Arial" w:hAnsi="Arial" w:cs="Arial"/>
          <w:color w:val="000000"/>
          <w:sz w:val="22"/>
          <w:szCs w:val="22"/>
        </w:rPr>
      </w:pPr>
    </w:p>
    <w:p w14:paraId="17030216" w14:textId="77777777" w:rsidR="00572AD5" w:rsidRDefault="00000000" w:rsidP="002C6D1E">
      <w:pPr>
        <w:numPr>
          <w:ilvl w:val="1"/>
          <w:numId w:val="27"/>
        </w:numPr>
        <w:pBdr>
          <w:top w:val="nil"/>
          <w:left w:val="nil"/>
          <w:bottom w:val="nil"/>
          <w:right w:val="nil"/>
          <w:between w:val="nil"/>
        </w:pBdr>
        <w:ind w:right="-1227"/>
        <w:rPr>
          <w:rFonts w:ascii="Arial" w:eastAsia="Arial" w:hAnsi="Arial" w:cs="Arial"/>
          <w:color w:val="000000"/>
          <w:sz w:val="22"/>
          <w:szCs w:val="22"/>
        </w:rPr>
      </w:pPr>
      <w:r>
        <w:rPr>
          <w:rFonts w:ascii="Arial" w:eastAsia="Arial" w:hAnsi="Arial" w:cs="Arial"/>
          <w:b/>
          <w:color w:val="000000"/>
          <w:sz w:val="22"/>
          <w:szCs w:val="22"/>
        </w:rPr>
        <w:t>DE LA DEMANDA:</w:t>
      </w:r>
    </w:p>
    <w:p w14:paraId="6973C71A" w14:textId="77777777" w:rsidR="00572AD5" w:rsidRDefault="00572AD5">
      <w:pPr>
        <w:ind w:left="119" w:right="77"/>
        <w:rPr>
          <w:rFonts w:ascii="Arial" w:eastAsia="Arial" w:hAnsi="Arial" w:cs="Arial"/>
        </w:rPr>
      </w:pPr>
    </w:p>
    <w:p w14:paraId="19AA2ABB" w14:textId="2F571438" w:rsidR="00572AD5" w:rsidRDefault="00000000">
      <w:pPr>
        <w:pStyle w:val="Ttulo2"/>
        <w:tabs>
          <w:tab w:val="left" w:pos="807"/>
        </w:tabs>
        <w:spacing w:before="101"/>
        <w:jc w:val="both"/>
        <w:rPr>
          <w:rFonts w:ascii="Arial" w:eastAsia="Arial" w:hAnsi="Arial" w:cs="Arial"/>
          <w:b w:val="0"/>
          <w:i w:val="0"/>
          <w:color w:val="000000"/>
          <w:sz w:val="22"/>
          <w:szCs w:val="22"/>
        </w:rPr>
      </w:pPr>
      <w:r>
        <w:rPr>
          <w:rFonts w:ascii="Arial" w:eastAsia="Arial" w:hAnsi="Arial" w:cs="Arial"/>
          <w:b w:val="0"/>
          <w:i w:val="0"/>
          <w:color w:val="000000"/>
          <w:sz w:val="22"/>
          <w:szCs w:val="22"/>
        </w:rPr>
        <w:t>En cumplimiento de lo establecido en el decreto 1082 de 2015 se realizó el análisis necesario para conocer el sector relativo, en este caso se revisó condiciones particulares de otros procesos de contratación similares, se acopio información a través de la plataforma SECOP relacionada con procesos anteriores y similares al objeto a contratar que se adelantaron por el SENA así:</w:t>
      </w:r>
    </w:p>
    <w:p w14:paraId="30360C32" w14:textId="77777777" w:rsidR="00572AD5" w:rsidRDefault="00572AD5"/>
    <w:p w14:paraId="247E9FD9" w14:textId="010EC98F" w:rsidR="00572AD5" w:rsidRDefault="00000000">
      <w:pPr>
        <w:pStyle w:val="Ttulo2"/>
        <w:tabs>
          <w:tab w:val="left" w:pos="807"/>
        </w:tabs>
        <w:spacing w:before="101"/>
        <w:jc w:val="both"/>
        <w:rPr>
          <w:rFonts w:ascii="Arial" w:eastAsia="Arial" w:hAnsi="Arial" w:cs="Arial"/>
          <w:b w:val="0"/>
          <w:i w:val="0"/>
          <w:color w:val="000000"/>
          <w:sz w:val="22"/>
          <w:szCs w:val="22"/>
        </w:rPr>
      </w:pPr>
      <w:r>
        <w:rPr>
          <w:rFonts w:ascii="Arial" w:eastAsia="Arial" w:hAnsi="Arial" w:cs="Arial"/>
          <w:b w:val="0"/>
          <w:i w:val="0"/>
          <w:color w:val="000000"/>
          <w:sz w:val="22"/>
          <w:szCs w:val="22"/>
        </w:rPr>
        <w:t xml:space="preserve">Adquisiciones previas de la entidad: Para analizar el presente sector se tuvo en cuenta los procesos de contratación </w:t>
      </w:r>
      <w:r w:rsidR="002274A7">
        <w:rPr>
          <w:rFonts w:ascii="Arial" w:eastAsia="Arial" w:hAnsi="Arial" w:cs="Arial"/>
          <w:b w:val="0"/>
          <w:i w:val="0"/>
          <w:color w:val="000000"/>
          <w:sz w:val="22"/>
          <w:szCs w:val="22"/>
        </w:rPr>
        <w:t xml:space="preserve">de los centros de formación de la Regional Tolima </w:t>
      </w:r>
      <w:r>
        <w:rPr>
          <w:rFonts w:ascii="Arial" w:eastAsia="Arial" w:hAnsi="Arial" w:cs="Arial"/>
          <w:b w:val="0"/>
          <w:i w:val="0"/>
          <w:color w:val="000000"/>
          <w:sz w:val="22"/>
          <w:szCs w:val="22"/>
        </w:rPr>
        <w:t>realizado en las vigencias del 202</w:t>
      </w:r>
      <w:r w:rsidR="002274A7">
        <w:rPr>
          <w:rFonts w:ascii="Arial" w:eastAsia="Arial" w:hAnsi="Arial" w:cs="Arial"/>
          <w:b w:val="0"/>
          <w:i w:val="0"/>
          <w:color w:val="000000"/>
          <w:sz w:val="22"/>
          <w:szCs w:val="22"/>
        </w:rPr>
        <w:t>4</w:t>
      </w:r>
      <w:r>
        <w:rPr>
          <w:rFonts w:ascii="Arial" w:eastAsia="Arial" w:hAnsi="Arial" w:cs="Arial"/>
          <w:b w:val="0"/>
          <w:i w:val="0"/>
          <w:color w:val="000000"/>
          <w:sz w:val="22"/>
          <w:szCs w:val="22"/>
        </w:rPr>
        <w:t xml:space="preserve"> </w:t>
      </w:r>
      <w:r w:rsidR="002274A7">
        <w:rPr>
          <w:rFonts w:ascii="Arial" w:eastAsia="Arial" w:hAnsi="Arial" w:cs="Arial"/>
          <w:b w:val="0"/>
          <w:i w:val="0"/>
          <w:color w:val="000000"/>
          <w:sz w:val="22"/>
          <w:szCs w:val="22"/>
        </w:rPr>
        <w:t>y</w:t>
      </w:r>
      <w:r>
        <w:rPr>
          <w:rFonts w:ascii="Arial" w:eastAsia="Arial" w:hAnsi="Arial" w:cs="Arial"/>
          <w:b w:val="0"/>
          <w:i w:val="0"/>
          <w:color w:val="000000"/>
          <w:sz w:val="22"/>
          <w:szCs w:val="22"/>
        </w:rPr>
        <w:t xml:space="preserve"> 202</w:t>
      </w:r>
      <w:r w:rsidR="002274A7">
        <w:rPr>
          <w:rFonts w:ascii="Arial" w:eastAsia="Arial" w:hAnsi="Arial" w:cs="Arial"/>
          <w:b w:val="0"/>
          <w:i w:val="0"/>
          <w:color w:val="000000"/>
          <w:sz w:val="22"/>
          <w:szCs w:val="22"/>
        </w:rPr>
        <w:t>5</w:t>
      </w:r>
      <w:r>
        <w:rPr>
          <w:rFonts w:ascii="Arial" w:eastAsia="Arial" w:hAnsi="Arial" w:cs="Arial"/>
          <w:b w:val="0"/>
          <w:i w:val="0"/>
          <w:color w:val="000000"/>
          <w:sz w:val="22"/>
          <w:szCs w:val="22"/>
        </w:rPr>
        <w:t>:</w:t>
      </w:r>
    </w:p>
    <w:p w14:paraId="71F4CEBB" w14:textId="77777777" w:rsidR="002C6D1E" w:rsidRDefault="002C6D1E" w:rsidP="002C6D1E">
      <w:pPr>
        <w:rPr>
          <w:rFonts w:eastAsia="Arial"/>
        </w:rPr>
      </w:pPr>
    </w:p>
    <w:p w14:paraId="77513AA6" w14:textId="77777777" w:rsidR="002C6D1E" w:rsidRPr="002C6D1E" w:rsidRDefault="002C6D1E" w:rsidP="002C6D1E">
      <w:pPr>
        <w:rPr>
          <w:rFonts w:eastAsia="Arial"/>
        </w:rPr>
      </w:pPr>
    </w:p>
    <w:p w14:paraId="28C71ED3" w14:textId="77777777" w:rsidR="00572AD5" w:rsidRDefault="00572AD5"/>
    <w:p w14:paraId="06F53A98" w14:textId="77777777" w:rsidR="00871039" w:rsidRDefault="00871039"/>
    <w:tbl>
      <w:tblPr>
        <w:tblStyle w:val="Tablaconcuadrcula"/>
        <w:tblW w:w="0" w:type="auto"/>
        <w:tblLook w:val="04A0" w:firstRow="1" w:lastRow="0" w:firstColumn="1" w:lastColumn="0" w:noHBand="0" w:noVBand="1"/>
      </w:tblPr>
      <w:tblGrid>
        <w:gridCol w:w="1003"/>
        <w:gridCol w:w="1115"/>
        <w:gridCol w:w="2665"/>
        <w:gridCol w:w="997"/>
        <w:gridCol w:w="941"/>
        <w:gridCol w:w="1014"/>
        <w:gridCol w:w="1186"/>
      </w:tblGrid>
      <w:tr w:rsidR="006D44DA" w:rsidRPr="00AE719D" w14:paraId="5AB66664" w14:textId="77777777" w:rsidTr="006D44DA">
        <w:trPr>
          <w:trHeight w:val="240"/>
        </w:trPr>
        <w:tc>
          <w:tcPr>
            <w:tcW w:w="1216" w:type="dxa"/>
            <w:shd w:val="clear" w:color="auto" w:fill="C6D9F1" w:themeFill="text2" w:themeFillTint="33"/>
            <w:noWrap/>
            <w:hideMark/>
          </w:tcPr>
          <w:p w14:paraId="2B2C661F" w14:textId="77777777" w:rsidR="006D44DA" w:rsidRPr="00AE719D" w:rsidRDefault="006D44DA" w:rsidP="00AE719D">
            <w:pPr>
              <w:jc w:val="center"/>
              <w:rPr>
                <w:rFonts w:asciiTheme="majorHAnsi" w:hAnsiTheme="majorHAnsi" w:cstheme="majorHAnsi"/>
                <w:b/>
                <w:bCs/>
                <w:sz w:val="20"/>
                <w:szCs w:val="20"/>
                <w:u w:val="single"/>
              </w:rPr>
            </w:pPr>
            <w:r w:rsidRPr="00AE719D">
              <w:rPr>
                <w:rFonts w:asciiTheme="majorHAnsi" w:hAnsiTheme="majorHAnsi" w:cstheme="majorHAnsi"/>
                <w:b/>
                <w:bCs/>
                <w:sz w:val="20"/>
                <w:szCs w:val="20"/>
                <w:u w:val="single"/>
              </w:rPr>
              <w:lastRenderedPageBreak/>
              <w:t>Entidad Estatal</w:t>
            </w:r>
          </w:p>
        </w:tc>
        <w:tc>
          <w:tcPr>
            <w:tcW w:w="1234" w:type="dxa"/>
            <w:shd w:val="clear" w:color="auto" w:fill="C6D9F1" w:themeFill="text2" w:themeFillTint="33"/>
            <w:noWrap/>
            <w:hideMark/>
          </w:tcPr>
          <w:p w14:paraId="61567426" w14:textId="77777777" w:rsidR="006D44DA" w:rsidRPr="00AE719D" w:rsidRDefault="006D44DA" w:rsidP="00AE719D">
            <w:pPr>
              <w:jc w:val="center"/>
              <w:rPr>
                <w:rFonts w:asciiTheme="majorHAnsi" w:hAnsiTheme="majorHAnsi" w:cstheme="majorHAnsi"/>
                <w:b/>
                <w:bCs/>
                <w:sz w:val="20"/>
                <w:szCs w:val="20"/>
                <w:u w:val="single"/>
              </w:rPr>
            </w:pPr>
            <w:r w:rsidRPr="00AE719D">
              <w:rPr>
                <w:rFonts w:asciiTheme="majorHAnsi" w:hAnsiTheme="majorHAnsi" w:cstheme="majorHAnsi"/>
                <w:b/>
                <w:bCs/>
                <w:sz w:val="20"/>
                <w:szCs w:val="20"/>
                <w:u w:val="single"/>
              </w:rPr>
              <w:t>Referencia</w:t>
            </w:r>
          </w:p>
        </w:tc>
        <w:tc>
          <w:tcPr>
            <w:tcW w:w="3540" w:type="dxa"/>
            <w:shd w:val="clear" w:color="auto" w:fill="C6D9F1" w:themeFill="text2" w:themeFillTint="33"/>
            <w:noWrap/>
            <w:hideMark/>
          </w:tcPr>
          <w:p w14:paraId="4CB2BB2F" w14:textId="77777777" w:rsidR="006D44DA" w:rsidRPr="00AE719D" w:rsidRDefault="006D44DA" w:rsidP="00AE719D">
            <w:pPr>
              <w:jc w:val="center"/>
              <w:rPr>
                <w:rFonts w:asciiTheme="majorHAnsi" w:hAnsiTheme="majorHAnsi" w:cstheme="majorHAnsi"/>
                <w:b/>
                <w:bCs/>
                <w:sz w:val="20"/>
                <w:szCs w:val="20"/>
                <w:u w:val="single"/>
              </w:rPr>
            </w:pPr>
            <w:r w:rsidRPr="00AE719D">
              <w:rPr>
                <w:rFonts w:asciiTheme="majorHAnsi" w:hAnsiTheme="majorHAnsi" w:cstheme="majorHAnsi"/>
                <w:b/>
                <w:bCs/>
                <w:sz w:val="20"/>
                <w:szCs w:val="20"/>
                <w:u w:val="single"/>
              </w:rPr>
              <w:t>Descripción</w:t>
            </w:r>
          </w:p>
        </w:tc>
        <w:tc>
          <w:tcPr>
            <w:tcW w:w="1269" w:type="dxa"/>
            <w:shd w:val="clear" w:color="auto" w:fill="C6D9F1" w:themeFill="text2" w:themeFillTint="33"/>
            <w:noWrap/>
            <w:hideMark/>
          </w:tcPr>
          <w:p w14:paraId="7FC3CAB2" w14:textId="77777777" w:rsidR="006D44DA" w:rsidRPr="00AE719D" w:rsidRDefault="006D44DA" w:rsidP="00AE719D">
            <w:pPr>
              <w:jc w:val="center"/>
              <w:rPr>
                <w:rFonts w:asciiTheme="majorHAnsi" w:hAnsiTheme="majorHAnsi" w:cstheme="majorHAnsi"/>
                <w:b/>
                <w:bCs/>
                <w:sz w:val="20"/>
                <w:szCs w:val="20"/>
              </w:rPr>
            </w:pPr>
            <w:r w:rsidRPr="00AE719D">
              <w:rPr>
                <w:rFonts w:asciiTheme="majorHAnsi" w:hAnsiTheme="majorHAnsi" w:cstheme="majorHAnsi"/>
                <w:b/>
                <w:bCs/>
                <w:sz w:val="20"/>
                <w:szCs w:val="20"/>
              </w:rPr>
              <w:t>Fase actual</w:t>
            </w:r>
          </w:p>
        </w:tc>
        <w:tc>
          <w:tcPr>
            <w:tcW w:w="1200" w:type="dxa"/>
            <w:shd w:val="clear" w:color="auto" w:fill="C6D9F1" w:themeFill="text2" w:themeFillTint="33"/>
            <w:noWrap/>
            <w:hideMark/>
          </w:tcPr>
          <w:p w14:paraId="1543F997" w14:textId="77777777" w:rsidR="006D44DA" w:rsidRPr="00AE719D" w:rsidRDefault="006D44DA" w:rsidP="00AE719D">
            <w:pPr>
              <w:jc w:val="center"/>
              <w:rPr>
                <w:rFonts w:asciiTheme="majorHAnsi" w:hAnsiTheme="majorHAnsi" w:cstheme="majorHAnsi"/>
                <w:b/>
                <w:bCs/>
                <w:sz w:val="20"/>
                <w:szCs w:val="20"/>
                <w:u w:val="single"/>
              </w:rPr>
            </w:pPr>
            <w:r w:rsidRPr="00AE719D">
              <w:rPr>
                <w:rFonts w:asciiTheme="majorHAnsi" w:hAnsiTheme="majorHAnsi" w:cstheme="majorHAnsi"/>
                <w:b/>
                <w:bCs/>
                <w:sz w:val="20"/>
                <w:szCs w:val="20"/>
                <w:u w:val="single"/>
              </w:rPr>
              <w:t>Fecha de publicación</w:t>
            </w:r>
          </w:p>
        </w:tc>
        <w:tc>
          <w:tcPr>
            <w:tcW w:w="1200" w:type="dxa"/>
            <w:shd w:val="clear" w:color="auto" w:fill="C6D9F1" w:themeFill="text2" w:themeFillTint="33"/>
            <w:noWrap/>
            <w:hideMark/>
          </w:tcPr>
          <w:p w14:paraId="6BCAD11F" w14:textId="77777777" w:rsidR="006D44DA" w:rsidRPr="00AE719D" w:rsidRDefault="006D44DA" w:rsidP="00AE719D">
            <w:pPr>
              <w:jc w:val="center"/>
              <w:rPr>
                <w:rFonts w:asciiTheme="majorHAnsi" w:hAnsiTheme="majorHAnsi" w:cstheme="majorHAnsi"/>
                <w:b/>
                <w:bCs/>
                <w:sz w:val="20"/>
                <w:szCs w:val="20"/>
                <w:u w:val="single"/>
              </w:rPr>
            </w:pPr>
            <w:r w:rsidRPr="00AE719D">
              <w:rPr>
                <w:rFonts w:asciiTheme="majorHAnsi" w:hAnsiTheme="majorHAnsi" w:cstheme="majorHAnsi"/>
                <w:b/>
                <w:bCs/>
                <w:sz w:val="20"/>
                <w:szCs w:val="20"/>
                <w:u w:val="single"/>
              </w:rPr>
              <w:t>Fecha de presentación de ofertas</w:t>
            </w:r>
          </w:p>
        </w:tc>
        <w:tc>
          <w:tcPr>
            <w:tcW w:w="1500" w:type="dxa"/>
            <w:shd w:val="clear" w:color="auto" w:fill="C6D9F1" w:themeFill="text2" w:themeFillTint="33"/>
            <w:noWrap/>
            <w:hideMark/>
          </w:tcPr>
          <w:p w14:paraId="5EC58619" w14:textId="77777777" w:rsidR="006D44DA" w:rsidRPr="00AE719D" w:rsidRDefault="006D44DA" w:rsidP="00AE719D">
            <w:pPr>
              <w:jc w:val="center"/>
              <w:rPr>
                <w:rFonts w:asciiTheme="majorHAnsi" w:hAnsiTheme="majorHAnsi" w:cstheme="majorHAnsi"/>
                <w:b/>
                <w:bCs/>
                <w:sz w:val="20"/>
                <w:szCs w:val="20"/>
              </w:rPr>
            </w:pPr>
            <w:r w:rsidRPr="00AE719D">
              <w:rPr>
                <w:rFonts w:asciiTheme="majorHAnsi" w:hAnsiTheme="majorHAnsi" w:cstheme="majorHAnsi"/>
                <w:b/>
                <w:bCs/>
                <w:sz w:val="20"/>
                <w:szCs w:val="20"/>
              </w:rPr>
              <w:t>Cuantía</w:t>
            </w:r>
          </w:p>
        </w:tc>
      </w:tr>
      <w:tr w:rsidR="006D44DA" w:rsidRPr="00AE719D" w14:paraId="70A35111" w14:textId="77777777" w:rsidTr="000115EB">
        <w:trPr>
          <w:trHeight w:val="960"/>
        </w:trPr>
        <w:tc>
          <w:tcPr>
            <w:tcW w:w="1216" w:type="dxa"/>
            <w:noWrap/>
            <w:hideMark/>
          </w:tcPr>
          <w:p w14:paraId="2282E71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75648" behindDoc="0" locked="0" layoutInCell="1" allowOverlap="1" wp14:anchorId="626F48CF" wp14:editId="62492216">
                  <wp:simplePos x="0" y="0"/>
                  <wp:positionH relativeFrom="column">
                    <wp:posOffset>0</wp:posOffset>
                  </wp:positionH>
                  <wp:positionV relativeFrom="paragraph">
                    <wp:posOffset>0</wp:posOffset>
                  </wp:positionV>
                  <wp:extent cx="152400" cy="104775"/>
                  <wp:effectExtent l="0" t="0" r="0" b="9525"/>
                  <wp:wrapNone/>
                  <wp:docPr id="1240939617" name="Imagen 17">
                    <a:extLst xmlns:a="http://schemas.openxmlformats.org/drawingml/2006/main">
                      <a:ext uri="{FF2B5EF4-FFF2-40B4-BE49-F238E27FC236}">
                        <a16:creationId xmlns:a16="http://schemas.microsoft.com/office/drawing/2014/main" id="{A36D1D3B-DBB3-7D83-7003-74B0B116BDE1}"/>
                      </a:ext>
                    </a:extLst>
                  </wp:docPr>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A36D1D3B-DBB3-7D83-7003-74B0B116BDE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70DC935E"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12E8324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590E8059" w14:textId="77777777" w:rsidR="006D44DA" w:rsidRPr="00AE719D" w:rsidRDefault="006D44DA" w:rsidP="000115EB">
            <w:pPr>
              <w:rPr>
                <w:rFonts w:asciiTheme="majorHAnsi" w:hAnsiTheme="majorHAnsi" w:cstheme="majorHAnsi"/>
                <w:sz w:val="20"/>
                <w:szCs w:val="20"/>
              </w:rPr>
            </w:pPr>
          </w:p>
        </w:tc>
        <w:tc>
          <w:tcPr>
            <w:tcW w:w="1234" w:type="dxa"/>
            <w:hideMark/>
          </w:tcPr>
          <w:p w14:paraId="1C5EB246"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MC-CCS-9310- 405-2025</w:t>
            </w:r>
          </w:p>
        </w:tc>
        <w:tc>
          <w:tcPr>
            <w:tcW w:w="3540" w:type="dxa"/>
            <w:hideMark/>
          </w:tcPr>
          <w:p w14:paraId="77E9D60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EQUIPOS DE COCINA 2025</w:t>
            </w:r>
          </w:p>
        </w:tc>
        <w:tc>
          <w:tcPr>
            <w:tcW w:w="1269" w:type="dxa"/>
            <w:hideMark/>
          </w:tcPr>
          <w:p w14:paraId="60C4F05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Fase de ofertas</w:t>
            </w:r>
          </w:p>
        </w:tc>
        <w:tc>
          <w:tcPr>
            <w:tcW w:w="1200" w:type="dxa"/>
            <w:hideMark/>
          </w:tcPr>
          <w:p w14:paraId="7E45D235"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2/07/2025 3:15 PM </w:t>
            </w:r>
            <w:r w:rsidRPr="00AE719D">
              <w:rPr>
                <w:rFonts w:asciiTheme="majorHAnsi" w:hAnsiTheme="majorHAnsi" w:cstheme="majorHAnsi"/>
                <w:i/>
                <w:iCs/>
                <w:sz w:val="20"/>
                <w:szCs w:val="20"/>
              </w:rPr>
              <w:t>(UTC -5 horas)</w:t>
            </w:r>
          </w:p>
        </w:tc>
        <w:tc>
          <w:tcPr>
            <w:tcW w:w="1200" w:type="dxa"/>
            <w:hideMark/>
          </w:tcPr>
          <w:p w14:paraId="579E44D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8/07/2025 6:00 PM </w:t>
            </w:r>
            <w:r w:rsidRPr="00AE719D">
              <w:rPr>
                <w:rFonts w:asciiTheme="majorHAnsi" w:hAnsiTheme="majorHAnsi" w:cstheme="majorHAnsi"/>
                <w:i/>
                <w:iCs/>
                <w:sz w:val="20"/>
                <w:szCs w:val="20"/>
              </w:rPr>
              <w:t>(UTC -5 horas)</w:t>
            </w:r>
          </w:p>
        </w:tc>
        <w:tc>
          <w:tcPr>
            <w:tcW w:w="1500" w:type="dxa"/>
            <w:hideMark/>
          </w:tcPr>
          <w:p w14:paraId="6DC3190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44.011.500 COP</w:t>
            </w:r>
          </w:p>
        </w:tc>
      </w:tr>
      <w:tr w:rsidR="006D44DA" w:rsidRPr="00AE719D" w14:paraId="703F8AD9" w14:textId="77777777" w:rsidTr="000115EB">
        <w:trPr>
          <w:trHeight w:val="960"/>
        </w:trPr>
        <w:tc>
          <w:tcPr>
            <w:tcW w:w="1216" w:type="dxa"/>
            <w:noWrap/>
            <w:hideMark/>
          </w:tcPr>
          <w:p w14:paraId="4469F66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76672" behindDoc="0" locked="0" layoutInCell="1" allowOverlap="1" wp14:anchorId="2AAD8D9F" wp14:editId="5F1EC841">
                  <wp:simplePos x="0" y="0"/>
                  <wp:positionH relativeFrom="column">
                    <wp:posOffset>0</wp:posOffset>
                  </wp:positionH>
                  <wp:positionV relativeFrom="paragraph">
                    <wp:posOffset>0</wp:posOffset>
                  </wp:positionV>
                  <wp:extent cx="152400" cy="104775"/>
                  <wp:effectExtent l="0" t="0" r="0" b="9525"/>
                  <wp:wrapNone/>
                  <wp:docPr id="807417218" name="Imagen 16">
                    <a:extLst xmlns:a="http://schemas.openxmlformats.org/drawingml/2006/main">
                      <a:ext uri="{FF2B5EF4-FFF2-40B4-BE49-F238E27FC236}">
                        <a16:creationId xmlns:a16="http://schemas.microsoft.com/office/drawing/2014/main" id="{C343E4D4-806B-1AB7-94E9-98848B873F57}"/>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C343E4D4-806B-1AB7-94E9-98848B873F57}"/>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03874B48"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301DD52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785FC446" w14:textId="77777777" w:rsidR="006D44DA" w:rsidRPr="00AE719D" w:rsidRDefault="006D44DA" w:rsidP="000115EB">
            <w:pPr>
              <w:rPr>
                <w:rFonts w:asciiTheme="majorHAnsi" w:hAnsiTheme="majorHAnsi" w:cstheme="majorHAnsi"/>
                <w:sz w:val="20"/>
                <w:szCs w:val="20"/>
              </w:rPr>
            </w:pPr>
          </w:p>
        </w:tc>
        <w:tc>
          <w:tcPr>
            <w:tcW w:w="1234" w:type="dxa"/>
            <w:hideMark/>
          </w:tcPr>
          <w:p w14:paraId="0CF99756"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MC-CCS-9310-406-2025</w:t>
            </w:r>
          </w:p>
        </w:tc>
        <w:tc>
          <w:tcPr>
            <w:tcW w:w="3540" w:type="dxa"/>
            <w:hideMark/>
          </w:tcPr>
          <w:p w14:paraId="5E2F72E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EQUIPOS DE GIMNASIA CENTRO DE COMERCIO Y SERVICIOS</w:t>
            </w:r>
          </w:p>
        </w:tc>
        <w:tc>
          <w:tcPr>
            <w:tcW w:w="1269" w:type="dxa"/>
            <w:hideMark/>
          </w:tcPr>
          <w:p w14:paraId="5D586F7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24B84C9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16/06/2025 1:28 PM </w:t>
            </w:r>
            <w:r w:rsidRPr="00AE719D">
              <w:rPr>
                <w:rFonts w:asciiTheme="majorHAnsi" w:hAnsiTheme="majorHAnsi" w:cstheme="majorHAnsi"/>
                <w:i/>
                <w:iCs/>
                <w:sz w:val="20"/>
                <w:szCs w:val="20"/>
              </w:rPr>
              <w:t>(UTC -5 horas)</w:t>
            </w:r>
          </w:p>
        </w:tc>
        <w:tc>
          <w:tcPr>
            <w:tcW w:w="1200" w:type="dxa"/>
            <w:hideMark/>
          </w:tcPr>
          <w:p w14:paraId="4D5F377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19/06/2025 6:00 PM </w:t>
            </w:r>
            <w:r w:rsidRPr="00AE719D">
              <w:rPr>
                <w:rFonts w:asciiTheme="majorHAnsi" w:hAnsiTheme="majorHAnsi" w:cstheme="majorHAnsi"/>
                <w:i/>
                <w:iCs/>
                <w:sz w:val="20"/>
                <w:szCs w:val="20"/>
              </w:rPr>
              <w:t>(UTC -5 horas)</w:t>
            </w:r>
          </w:p>
        </w:tc>
        <w:tc>
          <w:tcPr>
            <w:tcW w:w="1500" w:type="dxa"/>
            <w:hideMark/>
          </w:tcPr>
          <w:p w14:paraId="58DEA3D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4.655.000 COP</w:t>
            </w:r>
          </w:p>
        </w:tc>
      </w:tr>
      <w:tr w:rsidR="006D44DA" w:rsidRPr="00AE719D" w14:paraId="7200A2A2" w14:textId="77777777" w:rsidTr="000115EB">
        <w:trPr>
          <w:trHeight w:val="960"/>
        </w:trPr>
        <w:tc>
          <w:tcPr>
            <w:tcW w:w="1216" w:type="dxa"/>
            <w:noWrap/>
            <w:hideMark/>
          </w:tcPr>
          <w:p w14:paraId="50BEA5AF"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77696" behindDoc="0" locked="0" layoutInCell="1" allowOverlap="1" wp14:anchorId="3AF547FF" wp14:editId="6ED7C811">
                  <wp:simplePos x="0" y="0"/>
                  <wp:positionH relativeFrom="column">
                    <wp:posOffset>0</wp:posOffset>
                  </wp:positionH>
                  <wp:positionV relativeFrom="paragraph">
                    <wp:posOffset>0</wp:posOffset>
                  </wp:positionV>
                  <wp:extent cx="152400" cy="104775"/>
                  <wp:effectExtent l="0" t="0" r="0" b="9525"/>
                  <wp:wrapNone/>
                  <wp:docPr id="4" name="Imagen 15">
                    <a:extLst xmlns:a="http://schemas.openxmlformats.org/drawingml/2006/main">
                      <a:ext uri="{FF2B5EF4-FFF2-40B4-BE49-F238E27FC236}">
                        <a16:creationId xmlns:a16="http://schemas.microsoft.com/office/drawing/2014/main" id="{21DAC3F2-B87C-51C3-E1B1-B53867E6BB9B}"/>
                      </a:ext>
                    </a:extLst>
                  </wp:docPr>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21DAC3F2-B87C-51C3-E1B1-B53867E6BB9B}"/>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089DC5C8"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3CE7185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27B94D05" w14:textId="77777777" w:rsidR="006D44DA" w:rsidRPr="00AE719D" w:rsidRDefault="006D44DA" w:rsidP="000115EB">
            <w:pPr>
              <w:rPr>
                <w:rFonts w:asciiTheme="majorHAnsi" w:hAnsiTheme="majorHAnsi" w:cstheme="majorHAnsi"/>
                <w:sz w:val="20"/>
                <w:szCs w:val="20"/>
              </w:rPr>
            </w:pPr>
          </w:p>
        </w:tc>
        <w:tc>
          <w:tcPr>
            <w:tcW w:w="1234" w:type="dxa"/>
            <w:hideMark/>
          </w:tcPr>
          <w:p w14:paraId="0ACC779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PSP-CIC-9310-230 -2025</w:t>
            </w:r>
          </w:p>
        </w:tc>
        <w:tc>
          <w:tcPr>
            <w:tcW w:w="3540" w:type="dxa"/>
            <w:hideMark/>
          </w:tcPr>
          <w:p w14:paraId="6115576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PRESTACION DE SERVICIOS PERSONALES PARA FACILITAR LA COMUNICACION ENTRE LOS CENTROS DE FORMACION Y EQUIPOS DE PLANEACION</w:t>
            </w:r>
          </w:p>
        </w:tc>
        <w:tc>
          <w:tcPr>
            <w:tcW w:w="1269" w:type="dxa"/>
            <w:hideMark/>
          </w:tcPr>
          <w:p w14:paraId="0AC6684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789A3FA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30/01/2025 9:25 AM </w:t>
            </w:r>
            <w:r w:rsidRPr="00AE719D">
              <w:rPr>
                <w:rFonts w:asciiTheme="majorHAnsi" w:hAnsiTheme="majorHAnsi" w:cstheme="majorHAnsi"/>
                <w:i/>
                <w:iCs/>
                <w:sz w:val="20"/>
                <w:szCs w:val="20"/>
              </w:rPr>
              <w:t>(UTC -5 horas)</w:t>
            </w:r>
          </w:p>
        </w:tc>
        <w:tc>
          <w:tcPr>
            <w:tcW w:w="1200" w:type="dxa"/>
            <w:hideMark/>
          </w:tcPr>
          <w:p w14:paraId="5089EDA5"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w:t>
            </w:r>
          </w:p>
        </w:tc>
        <w:tc>
          <w:tcPr>
            <w:tcW w:w="1500" w:type="dxa"/>
            <w:hideMark/>
          </w:tcPr>
          <w:p w14:paraId="566EC176"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52.118.000 COP</w:t>
            </w:r>
          </w:p>
        </w:tc>
      </w:tr>
      <w:tr w:rsidR="006D44DA" w:rsidRPr="00AE719D" w14:paraId="17753858" w14:textId="77777777" w:rsidTr="000115EB">
        <w:trPr>
          <w:trHeight w:val="960"/>
        </w:trPr>
        <w:tc>
          <w:tcPr>
            <w:tcW w:w="1216" w:type="dxa"/>
            <w:noWrap/>
            <w:hideMark/>
          </w:tcPr>
          <w:p w14:paraId="1D6C07BB"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78720" behindDoc="0" locked="0" layoutInCell="1" allowOverlap="1" wp14:anchorId="67232A7C" wp14:editId="4B21D00E">
                  <wp:simplePos x="0" y="0"/>
                  <wp:positionH relativeFrom="column">
                    <wp:posOffset>0</wp:posOffset>
                  </wp:positionH>
                  <wp:positionV relativeFrom="paragraph">
                    <wp:posOffset>0</wp:posOffset>
                  </wp:positionV>
                  <wp:extent cx="152400" cy="104775"/>
                  <wp:effectExtent l="0" t="0" r="0" b="9525"/>
                  <wp:wrapNone/>
                  <wp:docPr id="218893699" name="Imagen 14">
                    <a:extLst xmlns:a="http://schemas.openxmlformats.org/drawingml/2006/main">
                      <a:ext uri="{FF2B5EF4-FFF2-40B4-BE49-F238E27FC236}">
                        <a16:creationId xmlns:a16="http://schemas.microsoft.com/office/drawing/2014/main" id="{99F76E1F-D3E2-C5DB-A3C2-4C750E1C8581}"/>
                      </a:ext>
                    </a:extLst>
                  </wp:docPr>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99F76E1F-D3E2-C5DB-A3C2-4C750E1C858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1A9EE7B2"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5471538B"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5D2B563A" w14:textId="77777777" w:rsidR="006D44DA" w:rsidRPr="00AE719D" w:rsidRDefault="006D44DA" w:rsidP="000115EB">
            <w:pPr>
              <w:rPr>
                <w:rFonts w:asciiTheme="majorHAnsi" w:hAnsiTheme="majorHAnsi" w:cstheme="majorHAnsi"/>
                <w:sz w:val="20"/>
                <w:szCs w:val="20"/>
              </w:rPr>
            </w:pPr>
          </w:p>
        </w:tc>
        <w:tc>
          <w:tcPr>
            <w:tcW w:w="1234" w:type="dxa"/>
            <w:hideMark/>
          </w:tcPr>
          <w:p w14:paraId="6297E29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MC-CIC-9226- 601-2024_1</w:t>
            </w:r>
          </w:p>
        </w:tc>
        <w:tc>
          <w:tcPr>
            <w:tcW w:w="3540" w:type="dxa"/>
            <w:hideMark/>
          </w:tcPr>
          <w:p w14:paraId="77DD57F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Adquisición de equipos para el desarrollo del proyecto de I+D+i SGPS-13190-2024</w:t>
            </w:r>
          </w:p>
        </w:tc>
        <w:tc>
          <w:tcPr>
            <w:tcW w:w="1269" w:type="dxa"/>
            <w:hideMark/>
          </w:tcPr>
          <w:p w14:paraId="0184315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4764A5B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4/12/2024 6:50 PM </w:t>
            </w:r>
            <w:r w:rsidRPr="00AE719D">
              <w:rPr>
                <w:rFonts w:asciiTheme="majorHAnsi" w:hAnsiTheme="majorHAnsi" w:cstheme="majorHAnsi"/>
                <w:i/>
                <w:iCs/>
                <w:sz w:val="20"/>
                <w:szCs w:val="20"/>
              </w:rPr>
              <w:t>(UTC -5 horas)</w:t>
            </w:r>
          </w:p>
        </w:tc>
        <w:tc>
          <w:tcPr>
            <w:tcW w:w="1200" w:type="dxa"/>
            <w:hideMark/>
          </w:tcPr>
          <w:p w14:paraId="7B35A37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9/12/2024 8:00 AM </w:t>
            </w:r>
            <w:r w:rsidRPr="00AE719D">
              <w:rPr>
                <w:rFonts w:asciiTheme="majorHAnsi" w:hAnsiTheme="majorHAnsi" w:cstheme="majorHAnsi"/>
                <w:i/>
                <w:iCs/>
                <w:sz w:val="20"/>
                <w:szCs w:val="20"/>
              </w:rPr>
              <w:t>(UTC -5 horas)</w:t>
            </w:r>
          </w:p>
        </w:tc>
        <w:tc>
          <w:tcPr>
            <w:tcW w:w="1500" w:type="dxa"/>
            <w:hideMark/>
          </w:tcPr>
          <w:p w14:paraId="53CDC116"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80.727.547,5 COP</w:t>
            </w:r>
          </w:p>
        </w:tc>
      </w:tr>
      <w:tr w:rsidR="006D44DA" w:rsidRPr="00AE719D" w14:paraId="3E6AEC9C" w14:textId="77777777" w:rsidTr="000115EB">
        <w:trPr>
          <w:trHeight w:val="960"/>
        </w:trPr>
        <w:tc>
          <w:tcPr>
            <w:tcW w:w="1216" w:type="dxa"/>
            <w:noWrap/>
            <w:hideMark/>
          </w:tcPr>
          <w:p w14:paraId="06FF4929"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79744" behindDoc="0" locked="0" layoutInCell="1" allowOverlap="1" wp14:anchorId="6B379056" wp14:editId="4DA9189F">
                  <wp:simplePos x="0" y="0"/>
                  <wp:positionH relativeFrom="column">
                    <wp:posOffset>0</wp:posOffset>
                  </wp:positionH>
                  <wp:positionV relativeFrom="paragraph">
                    <wp:posOffset>0</wp:posOffset>
                  </wp:positionV>
                  <wp:extent cx="152400" cy="104775"/>
                  <wp:effectExtent l="0" t="0" r="0" b="9525"/>
                  <wp:wrapNone/>
                  <wp:docPr id="1357093564" name="Imagen 13">
                    <a:extLst xmlns:a="http://schemas.openxmlformats.org/drawingml/2006/main">
                      <a:ext uri="{FF2B5EF4-FFF2-40B4-BE49-F238E27FC236}">
                        <a16:creationId xmlns:a16="http://schemas.microsoft.com/office/drawing/2014/main" id="{882A0101-D11B-B503-3F64-66FA6A042D5B}"/>
                      </a:ext>
                    </a:extLst>
                  </wp:docPr>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882A0101-D11B-B503-3F64-66FA6A042D5B}"/>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2B811560"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0AA65E6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121DC9F0" w14:textId="77777777" w:rsidR="006D44DA" w:rsidRPr="00AE719D" w:rsidRDefault="006D44DA" w:rsidP="000115EB">
            <w:pPr>
              <w:rPr>
                <w:rFonts w:asciiTheme="majorHAnsi" w:hAnsiTheme="majorHAnsi" w:cstheme="majorHAnsi"/>
                <w:sz w:val="20"/>
                <w:szCs w:val="20"/>
              </w:rPr>
            </w:pPr>
          </w:p>
        </w:tc>
        <w:tc>
          <w:tcPr>
            <w:tcW w:w="1234" w:type="dxa"/>
            <w:hideMark/>
          </w:tcPr>
          <w:p w14:paraId="1BD8A94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MC-CIC-9226-606-2024</w:t>
            </w:r>
          </w:p>
        </w:tc>
        <w:tc>
          <w:tcPr>
            <w:tcW w:w="3540" w:type="dxa"/>
            <w:hideMark/>
          </w:tcPr>
          <w:p w14:paraId="61E3896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Adquisición de equipos para el desarrollo del Proyecto: SGPS-12091-2024.</w:t>
            </w:r>
          </w:p>
        </w:tc>
        <w:tc>
          <w:tcPr>
            <w:tcW w:w="1269" w:type="dxa"/>
            <w:hideMark/>
          </w:tcPr>
          <w:p w14:paraId="711BD2A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536CD8AF"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2/12/2024 6:51 PM </w:t>
            </w:r>
            <w:r w:rsidRPr="00AE719D">
              <w:rPr>
                <w:rFonts w:asciiTheme="majorHAnsi" w:hAnsiTheme="majorHAnsi" w:cstheme="majorHAnsi"/>
                <w:i/>
                <w:iCs/>
                <w:sz w:val="20"/>
                <w:szCs w:val="20"/>
              </w:rPr>
              <w:t>(UTC -5 horas)</w:t>
            </w:r>
          </w:p>
        </w:tc>
        <w:tc>
          <w:tcPr>
            <w:tcW w:w="1200" w:type="dxa"/>
            <w:hideMark/>
          </w:tcPr>
          <w:p w14:paraId="11C19C3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9/12/2024 8:00 AM </w:t>
            </w:r>
            <w:r w:rsidRPr="00AE719D">
              <w:rPr>
                <w:rFonts w:asciiTheme="majorHAnsi" w:hAnsiTheme="majorHAnsi" w:cstheme="majorHAnsi"/>
                <w:i/>
                <w:iCs/>
                <w:sz w:val="20"/>
                <w:szCs w:val="20"/>
              </w:rPr>
              <w:t>(UTC -5 horas)</w:t>
            </w:r>
          </w:p>
        </w:tc>
        <w:tc>
          <w:tcPr>
            <w:tcW w:w="1500" w:type="dxa"/>
            <w:hideMark/>
          </w:tcPr>
          <w:p w14:paraId="4B921636"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79.979.350 COP</w:t>
            </w:r>
          </w:p>
        </w:tc>
      </w:tr>
      <w:tr w:rsidR="006D44DA" w:rsidRPr="00AE719D" w14:paraId="398548E4" w14:textId="77777777" w:rsidTr="000115EB">
        <w:trPr>
          <w:trHeight w:val="960"/>
        </w:trPr>
        <w:tc>
          <w:tcPr>
            <w:tcW w:w="1216" w:type="dxa"/>
            <w:hideMark/>
          </w:tcPr>
          <w:p w14:paraId="2703F218"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SENA REGIONAL TOLIMA 1</w:t>
            </w:r>
          </w:p>
        </w:tc>
        <w:tc>
          <w:tcPr>
            <w:tcW w:w="1234" w:type="dxa"/>
            <w:hideMark/>
          </w:tcPr>
          <w:p w14:paraId="5D6B38E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MC-CIC-9226- 588-2024</w:t>
            </w:r>
          </w:p>
        </w:tc>
        <w:tc>
          <w:tcPr>
            <w:tcW w:w="3540" w:type="dxa"/>
            <w:hideMark/>
          </w:tcPr>
          <w:p w14:paraId="7572692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EQUIPOS REFRIGERACION</w:t>
            </w:r>
          </w:p>
        </w:tc>
        <w:tc>
          <w:tcPr>
            <w:tcW w:w="1269" w:type="dxa"/>
            <w:hideMark/>
          </w:tcPr>
          <w:p w14:paraId="4139E83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658DA1F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25/11/2024 8:54 AM </w:t>
            </w:r>
            <w:r w:rsidRPr="00AE719D">
              <w:rPr>
                <w:rFonts w:asciiTheme="majorHAnsi" w:hAnsiTheme="majorHAnsi" w:cstheme="majorHAnsi"/>
                <w:i/>
                <w:iCs/>
                <w:sz w:val="20"/>
                <w:szCs w:val="20"/>
              </w:rPr>
              <w:t>(UTC -5 horas)</w:t>
            </w:r>
          </w:p>
        </w:tc>
        <w:tc>
          <w:tcPr>
            <w:tcW w:w="1200" w:type="dxa"/>
            <w:hideMark/>
          </w:tcPr>
          <w:p w14:paraId="058AD4A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29/11/2024 6:00 PM </w:t>
            </w:r>
            <w:r w:rsidRPr="00AE719D">
              <w:rPr>
                <w:rFonts w:asciiTheme="majorHAnsi" w:hAnsiTheme="majorHAnsi" w:cstheme="majorHAnsi"/>
                <w:i/>
                <w:iCs/>
                <w:sz w:val="20"/>
                <w:szCs w:val="20"/>
              </w:rPr>
              <w:t>(UTC -5 horas)</w:t>
            </w:r>
          </w:p>
        </w:tc>
        <w:tc>
          <w:tcPr>
            <w:tcW w:w="1500" w:type="dxa"/>
            <w:hideMark/>
          </w:tcPr>
          <w:p w14:paraId="3A0DABD1"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34.850.001 COP</w:t>
            </w:r>
          </w:p>
        </w:tc>
      </w:tr>
      <w:tr w:rsidR="006D44DA" w:rsidRPr="00AE719D" w14:paraId="62469C9E" w14:textId="77777777" w:rsidTr="000115EB">
        <w:trPr>
          <w:trHeight w:val="960"/>
        </w:trPr>
        <w:tc>
          <w:tcPr>
            <w:tcW w:w="1216" w:type="dxa"/>
            <w:noWrap/>
            <w:hideMark/>
          </w:tcPr>
          <w:p w14:paraId="494A361C"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0768" behindDoc="0" locked="0" layoutInCell="1" allowOverlap="1" wp14:anchorId="6B225C75" wp14:editId="2041E666">
                  <wp:simplePos x="0" y="0"/>
                  <wp:positionH relativeFrom="column">
                    <wp:posOffset>0</wp:posOffset>
                  </wp:positionH>
                  <wp:positionV relativeFrom="paragraph">
                    <wp:posOffset>0</wp:posOffset>
                  </wp:positionV>
                  <wp:extent cx="152400" cy="104775"/>
                  <wp:effectExtent l="0" t="0" r="0" b="9525"/>
                  <wp:wrapNone/>
                  <wp:docPr id="1253451605" name="Imagen 12">
                    <a:extLst xmlns:a="http://schemas.openxmlformats.org/drawingml/2006/main">
                      <a:ext uri="{FF2B5EF4-FFF2-40B4-BE49-F238E27FC236}">
                        <a16:creationId xmlns:a16="http://schemas.microsoft.com/office/drawing/2014/main" id="{C465E921-6B4F-2D88-89F1-B6D7B51AED4A}"/>
                      </a:ext>
                    </a:extLst>
                  </wp:docPr>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C465E921-6B4F-2D88-89F1-B6D7B51AED4A}"/>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1548FC5D"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3F0A9D8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2C062C7D" w14:textId="77777777" w:rsidR="006D44DA" w:rsidRPr="00AE719D" w:rsidRDefault="006D44DA" w:rsidP="000115EB">
            <w:pPr>
              <w:rPr>
                <w:rFonts w:asciiTheme="majorHAnsi" w:hAnsiTheme="majorHAnsi" w:cstheme="majorHAnsi"/>
                <w:sz w:val="20"/>
                <w:szCs w:val="20"/>
              </w:rPr>
            </w:pPr>
          </w:p>
        </w:tc>
        <w:tc>
          <w:tcPr>
            <w:tcW w:w="1234" w:type="dxa"/>
            <w:hideMark/>
          </w:tcPr>
          <w:p w14:paraId="03E593C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MC-TLM-CALG-063-2024</w:t>
            </w:r>
          </w:p>
        </w:tc>
        <w:tc>
          <w:tcPr>
            <w:tcW w:w="3540" w:type="dxa"/>
            <w:hideMark/>
          </w:tcPr>
          <w:p w14:paraId="1963D18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COMPRA DE HERRAMIENTAS Y EQUIPOS PARA LOS TALLERES DE CONSTRUCCIÓN, TOPOGRAFÍA Y SOLDADURA DEL CENTRO AGROPECUARIO</w:t>
            </w:r>
          </w:p>
        </w:tc>
        <w:tc>
          <w:tcPr>
            <w:tcW w:w="1269" w:type="dxa"/>
            <w:hideMark/>
          </w:tcPr>
          <w:p w14:paraId="2569E86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6B05B8B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21/11/2024 11:20 AM </w:t>
            </w:r>
            <w:r w:rsidRPr="00AE719D">
              <w:rPr>
                <w:rFonts w:asciiTheme="majorHAnsi" w:hAnsiTheme="majorHAnsi" w:cstheme="majorHAnsi"/>
                <w:i/>
                <w:iCs/>
                <w:sz w:val="20"/>
                <w:szCs w:val="20"/>
              </w:rPr>
              <w:t>(UTC -5 horas)</w:t>
            </w:r>
          </w:p>
        </w:tc>
        <w:tc>
          <w:tcPr>
            <w:tcW w:w="1200" w:type="dxa"/>
            <w:hideMark/>
          </w:tcPr>
          <w:p w14:paraId="558D3E7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26/11/2024 3:00 PM </w:t>
            </w:r>
            <w:r w:rsidRPr="00AE719D">
              <w:rPr>
                <w:rFonts w:asciiTheme="majorHAnsi" w:hAnsiTheme="majorHAnsi" w:cstheme="majorHAnsi"/>
                <w:i/>
                <w:iCs/>
                <w:sz w:val="20"/>
                <w:szCs w:val="20"/>
              </w:rPr>
              <w:t>(UTC -5 horas)</w:t>
            </w:r>
          </w:p>
        </w:tc>
        <w:tc>
          <w:tcPr>
            <w:tcW w:w="1500" w:type="dxa"/>
            <w:hideMark/>
          </w:tcPr>
          <w:p w14:paraId="26A35027"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49.748.945 COP</w:t>
            </w:r>
          </w:p>
        </w:tc>
      </w:tr>
      <w:tr w:rsidR="006D44DA" w:rsidRPr="00AE719D" w14:paraId="357CA253" w14:textId="77777777" w:rsidTr="000115EB">
        <w:trPr>
          <w:trHeight w:val="1440"/>
        </w:trPr>
        <w:tc>
          <w:tcPr>
            <w:tcW w:w="1216" w:type="dxa"/>
            <w:noWrap/>
            <w:hideMark/>
          </w:tcPr>
          <w:p w14:paraId="49F338EF"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lastRenderedPageBreak/>
              <w:drawing>
                <wp:anchor distT="0" distB="0" distL="114300" distR="114300" simplePos="0" relativeHeight="251681792" behindDoc="0" locked="0" layoutInCell="1" allowOverlap="1" wp14:anchorId="1B308E21" wp14:editId="30C94EDF">
                  <wp:simplePos x="0" y="0"/>
                  <wp:positionH relativeFrom="column">
                    <wp:posOffset>0</wp:posOffset>
                  </wp:positionH>
                  <wp:positionV relativeFrom="paragraph">
                    <wp:posOffset>0</wp:posOffset>
                  </wp:positionV>
                  <wp:extent cx="152400" cy="104775"/>
                  <wp:effectExtent l="0" t="0" r="0" b="9525"/>
                  <wp:wrapNone/>
                  <wp:docPr id="328328325" name="Imagen 11">
                    <a:extLst xmlns:a="http://schemas.openxmlformats.org/drawingml/2006/main">
                      <a:ext uri="{FF2B5EF4-FFF2-40B4-BE49-F238E27FC236}">
                        <a16:creationId xmlns:a16="http://schemas.microsoft.com/office/drawing/2014/main" id="{B70B3520-A127-E46E-9132-94559ACADD0E}"/>
                      </a:ext>
                    </a:extLst>
                  </wp:docPr>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B70B3520-A127-E46E-9132-94559ACADD0E}"/>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1B064076" w14:textId="77777777" w:rsidTr="000115EB">
              <w:trPr>
                <w:trHeight w:val="144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12DBF30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59E3B333" w14:textId="77777777" w:rsidR="006D44DA" w:rsidRPr="00AE719D" w:rsidRDefault="006D44DA" w:rsidP="000115EB">
            <w:pPr>
              <w:rPr>
                <w:rFonts w:asciiTheme="majorHAnsi" w:hAnsiTheme="majorHAnsi" w:cstheme="majorHAnsi"/>
                <w:sz w:val="20"/>
                <w:szCs w:val="20"/>
              </w:rPr>
            </w:pPr>
          </w:p>
        </w:tc>
        <w:tc>
          <w:tcPr>
            <w:tcW w:w="1234" w:type="dxa"/>
            <w:hideMark/>
          </w:tcPr>
          <w:p w14:paraId="0F5E9E8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SASI-CIC-9226-585-2024 (Presentación de oferta)</w:t>
            </w:r>
          </w:p>
        </w:tc>
        <w:tc>
          <w:tcPr>
            <w:tcW w:w="3540" w:type="dxa"/>
            <w:hideMark/>
          </w:tcPr>
          <w:p w14:paraId="3BF50D5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COMPRA DE EQUIPOS PARA MODERNIZACION AULAS MÓVILES (Presentación de oferta)</w:t>
            </w:r>
          </w:p>
        </w:tc>
        <w:tc>
          <w:tcPr>
            <w:tcW w:w="1269" w:type="dxa"/>
            <w:hideMark/>
          </w:tcPr>
          <w:p w14:paraId="430EA4F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23DA8A9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5/11/2024 2:07 PM </w:t>
            </w:r>
            <w:r w:rsidRPr="00AE719D">
              <w:rPr>
                <w:rFonts w:asciiTheme="majorHAnsi" w:hAnsiTheme="majorHAnsi" w:cstheme="majorHAnsi"/>
                <w:i/>
                <w:iCs/>
                <w:sz w:val="20"/>
                <w:szCs w:val="20"/>
              </w:rPr>
              <w:t>(UTC -5 horas)</w:t>
            </w:r>
          </w:p>
        </w:tc>
        <w:tc>
          <w:tcPr>
            <w:tcW w:w="1200" w:type="dxa"/>
            <w:hideMark/>
          </w:tcPr>
          <w:p w14:paraId="1202AE6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15/11/2024 12:00 PM </w:t>
            </w:r>
            <w:r w:rsidRPr="00AE719D">
              <w:rPr>
                <w:rFonts w:asciiTheme="majorHAnsi" w:hAnsiTheme="majorHAnsi" w:cstheme="majorHAnsi"/>
                <w:i/>
                <w:iCs/>
                <w:sz w:val="20"/>
                <w:szCs w:val="20"/>
              </w:rPr>
              <w:t>(UTC -5 horas)</w:t>
            </w:r>
          </w:p>
        </w:tc>
        <w:tc>
          <w:tcPr>
            <w:tcW w:w="1500" w:type="dxa"/>
            <w:hideMark/>
          </w:tcPr>
          <w:p w14:paraId="0BEA4598"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168.620.504 COP</w:t>
            </w:r>
          </w:p>
        </w:tc>
      </w:tr>
      <w:tr w:rsidR="006D44DA" w:rsidRPr="00AE719D" w14:paraId="4B4387F8" w14:textId="77777777" w:rsidTr="000115EB">
        <w:trPr>
          <w:trHeight w:val="960"/>
        </w:trPr>
        <w:tc>
          <w:tcPr>
            <w:tcW w:w="1216" w:type="dxa"/>
            <w:noWrap/>
            <w:hideMark/>
          </w:tcPr>
          <w:p w14:paraId="096C1648"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2816" behindDoc="0" locked="0" layoutInCell="1" allowOverlap="1" wp14:anchorId="35E39468" wp14:editId="76C139FC">
                  <wp:simplePos x="0" y="0"/>
                  <wp:positionH relativeFrom="column">
                    <wp:posOffset>0</wp:posOffset>
                  </wp:positionH>
                  <wp:positionV relativeFrom="paragraph">
                    <wp:posOffset>0</wp:posOffset>
                  </wp:positionV>
                  <wp:extent cx="152400" cy="104775"/>
                  <wp:effectExtent l="0" t="0" r="0" b="9525"/>
                  <wp:wrapNone/>
                  <wp:docPr id="718989992" name="Imagen 10">
                    <a:extLst xmlns:a="http://schemas.openxmlformats.org/drawingml/2006/main">
                      <a:ext uri="{FF2B5EF4-FFF2-40B4-BE49-F238E27FC236}">
                        <a16:creationId xmlns:a16="http://schemas.microsoft.com/office/drawing/2014/main" id="{DD5B0AF1-7D9C-4A18-0939-FAF74EDC748E}"/>
                      </a:ext>
                    </a:extLst>
                  </wp:docPr>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DD5B0AF1-7D9C-4A18-0939-FAF74EDC748E}"/>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0E7BA351"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129F909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38350A75" w14:textId="77777777" w:rsidR="006D44DA" w:rsidRPr="00AE719D" w:rsidRDefault="006D44DA" w:rsidP="000115EB">
            <w:pPr>
              <w:rPr>
                <w:rFonts w:asciiTheme="majorHAnsi" w:hAnsiTheme="majorHAnsi" w:cstheme="majorHAnsi"/>
                <w:sz w:val="20"/>
                <w:szCs w:val="20"/>
              </w:rPr>
            </w:pPr>
          </w:p>
        </w:tc>
        <w:tc>
          <w:tcPr>
            <w:tcW w:w="1234" w:type="dxa"/>
            <w:hideMark/>
          </w:tcPr>
          <w:p w14:paraId="65DEEE8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MC-CIC-9226- 566-2024</w:t>
            </w:r>
          </w:p>
        </w:tc>
        <w:tc>
          <w:tcPr>
            <w:tcW w:w="3540" w:type="dxa"/>
            <w:hideMark/>
          </w:tcPr>
          <w:p w14:paraId="3471FB4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de Equipos de los ambientes de formación de la Tecnoacademia</w:t>
            </w:r>
          </w:p>
        </w:tc>
        <w:tc>
          <w:tcPr>
            <w:tcW w:w="1269" w:type="dxa"/>
            <w:hideMark/>
          </w:tcPr>
          <w:p w14:paraId="13C18FC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03B5E65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15/10/2024 5:38 PM </w:t>
            </w:r>
            <w:r w:rsidRPr="00AE719D">
              <w:rPr>
                <w:rFonts w:asciiTheme="majorHAnsi" w:hAnsiTheme="majorHAnsi" w:cstheme="majorHAnsi"/>
                <w:i/>
                <w:iCs/>
                <w:sz w:val="20"/>
                <w:szCs w:val="20"/>
              </w:rPr>
              <w:t>(UTC -5 horas)</w:t>
            </w:r>
          </w:p>
        </w:tc>
        <w:tc>
          <w:tcPr>
            <w:tcW w:w="1200" w:type="dxa"/>
            <w:hideMark/>
          </w:tcPr>
          <w:p w14:paraId="7451722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18/10/2024 4:00 PM </w:t>
            </w:r>
            <w:r w:rsidRPr="00AE719D">
              <w:rPr>
                <w:rFonts w:asciiTheme="majorHAnsi" w:hAnsiTheme="majorHAnsi" w:cstheme="majorHAnsi"/>
                <w:i/>
                <w:iCs/>
                <w:sz w:val="20"/>
                <w:szCs w:val="20"/>
              </w:rPr>
              <w:t>(UTC -5 horas)</w:t>
            </w:r>
          </w:p>
        </w:tc>
        <w:tc>
          <w:tcPr>
            <w:tcW w:w="1500" w:type="dxa"/>
            <w:hideMark/>
          </w:tcPr>
          <w:p w14:paraId="73958CB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57.042.650 COP</w:t>
            </w:r>
          </w:p>
        </w:tc>
      </w:tr>
      <w:tr w:rsidR="006D44DA" w:rsidRPr="00AE719D" w14:paraId="4A109A2D" w14:textId="77777777" w:rsidTr="000115EB">
        <w:trPr>
          <w:trHeight w:val="1200"/>
        </w:trPr>
        <w:tc>
          <w:tcPr>
            <w:tcW w:w="1216" w:type="dxa"/>
            <w:noWrap/>
            <w:hideMark/>
          </w:tcPr>
          <w:p w14:paraId="78C3FFF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3840" behindDoc="0" locked="0" layoutInCell="1" allowOverlap="1" wp14:anchorId="6DDA8170" wp14:editId="72A4A07E">
                  <wp:simplePos x="0" y="0"/>
                  <wp:positionH relativeFrom="column">
                    <wp:posOffset>0</wp:posOffset>
                  </wp:positionH>
                  <wp:positionV relativeFrom="paragraph">
                    <wp:posOffset>0</wp:posOffset>
                  </wp:positionV>
                  <wp:extent cx="152400" cy="104775"/>
                  <wp:effectExtent l="0" t="0" r="0" b="9525"/>
                  <wp:wrapNone/>
                  <wp:docPr id="1656943413" name="Imagen 9">
                    <a:extLst xmlns:a="http://schemas.openxmlformats.org/drawingml/2006/main">
                      <a:ext uri="{FF2B5EF4-FFF2-40B4-BE49-F238E27FC236}">
                        <a16:creationId xmlns:a16="http://schemas.microsoft.com/office/drawing/2014/main" id="{B76B3166-60AE-96AE-DA00-FB49A1C75D51}"/>
                      </a:ext>
                    </a:extLst>
                  </wp:docPr>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B76B3166-60AE-96AE-DA00-FB49A1C75D5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0F18FF8C" w14:textId="77777777" w:rsidTr="000115EB">
              <w:trPr>
                <w:trHeight w:val="120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123ED25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4D105575" w14:textId="77777777" w:rsidR="006D44DA" w:rsidRPr="00AE719D" w:rsidRDefault="006D44DA" w:rsidP="000115EB">
            <w:pPr>
              <w:rPr>
                <w:rFonts w:asciiTheme="majorHAnsi" w:hAnsiTheme="majorHAnsi" w:cstheme="majorHAnsi"/>
                <w:sz w:val="20"/>
                <w:szCs w:val="20"/>
              </w:rPr>
            </w:pPr>
          </w:p>
        </w:tc>
        <w:tc>
          <w:tcPr>
            <w:tcW w:w="1234" w:type="dxa"/>
            <w:hideMark/>
          </w:tcPr>
          <w:p w14:paraId="06AB3AC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MC-TLM-CALG-053-2024</w:t>
            </w:r>
          </w:p>
        </w:tc>
        <w:tc>
          <w:tcPr>
            <w:tcW w:w="3540" w:type="dxa"/>
            <w:hideMark/>
          </w:tcPr>
          <w:p w14:paraId="71FBA76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DE LA RED DE GASES Y GENERACIÓN DE VAPOR DE LA CALDERA Y EQUIPOS COMPLEMENTARIOS DE PROCESAMIENTO DE ALIMENTOS DEL CENTRO</w:t>
            </w:r>
          </w:p>
        </w:tc>
        <w:tc>
          <w:tcPr>
            <w:tcW w:w="1269" w:type="dxa"/>
            <w:hideMark/>
          </w:tcPr>
          <w:p w14:paraId="5E513D6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Fase de ofertas</w:t>
            </w:r>
          </w:p>
        </w:tc>
        <w:tc>
          <w:tcPr>
            <w:tcW w:w="1200" w:type="dxa"/>
            <w:hideMark/>
          </w:tcPr>
          <w:p w14:paraId="6DAE954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7/10/2024 1:44 PM </w:t>
            </w:r>
            <w:r w:rsidRPr="00AE719D">
              <w:rPr>
                <w:rFonts w:asciiTheme="majorHAnsi" w:hAnsiTheme="majorHAnsi" w:cstheme="majorHAnsi"/>
                <w:i/>
                <w:iCs/>
                <w:sz w:val="20"/>
                <w:szCs w:val="20"/>
              </w:rPr>
              <w:t>(UTC -5 horas)</w:t>
            </w:r>
          </w:p>
        </w:tc>
        <w:tc>
          <w:tcPr>
            <w:tcW w:w="1200" w:type="dxa"/>
            <w:hideMark/>
          </w:tcPr>
          <w:p w14:paraId="5DA1A95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10/10/2024 3:00 PM </w:t>
            </w:r>
            <w:r w:rsidRPr="00AE719D">
              <w:rPr>
                <w:rFonts w:asciiTheme="majorHAnsi" w:hAnsiTheme="majorHAnsi" w:cstheme="majorHAnsi"/>
                <w:i/>
                <w:iCs/>
                <w:sz w:val="20"/>
                <w:szCs w:val="20"/>
              </w:rPr>
              <w:t>(UTC -5 horas)</w:t>
            </w:r>
          </w:p>
        </w:tc>
        <w:tc>
          <w:tcPr>
            <w:tcW w:w="1500" w:type="dxa"/>
            <w:hideMark/>
          </w:tcPr>
          <w:p w14:paraId="1DEA8C2F"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14.998.400 COP</w:t>
            </w:r>
          </w:p>
        </w:tc>
      </w:tr>
      <w:tr w:rsidR="006D44DA" w:rsidRPr="00AE719D" w14:paraId="7013A716" w14:textId="77777777" w:rsidTr="000115EB">
        <w:trPr>
          <w:trHeight w:val="960"/>
        </w:trPr>
        <w:tc>
          <w:tcPr>
            <w:tcW w:w="1216" w:type="dxa"/>
            <w:noWrap/>
            <w:hideMark/>
          </w:tcPr>
          <w:p w14:paraId="79F7858A"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4864" behindDoc="0" locked="0" layoutInCell="1" allowOverlap="1" wp14:anchorId="30ADF6E3" wp14:editId="1CE538B6">
                  <wp:simplePos x="0" y="0"/>
                  <wp:positionH relativeFrom="column">
                    <wp:posOffset>0</wp:posOffset>
                  </wp:positionH>
                  <wp:positionV relativeFrom="paragraph">
                    <wp:posOffset>0</wp:posOffset>
                  </wp:positionV>
                  <wp:extent cx="152400" cy="104775"/>
                  <wp:effectExtent l="0" t="0" r="0" b="9525"/>
                  <wp:wrapNone/>
                  <wp:docPr id="1126930325" name="Imagen 8">
                    <a:extLst xmlns:a="http://schemas.openxmlformats.org/drawingml/2006/main">
                      <a:ext uri="{FF2B5EF4-FFF2-40B4-BE49-F238E27FC236}">
                        <a16:creationId xmlns:a16="http://schemas.microsoft.com/office/drawing/2014/main" id="{94D250DE-C1D5-BF1E-1BB8-EFD236C4AE06}"/>
                      </a:ext>
                    </a:extLst>
                  </wp:docPr>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94D250DE-C1D5-BF1E-1BB8-EFD236C4AE06}"/>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2EF7D757"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27CAED2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750D01F7" w14:textId="77777777" w:rsidR="006D44DA" w:rsidRPr="00AE719D" w:rsidRDefault="006D44DA" w:rsidP="000115EB">
            <w:pPr>
              <w:rPr>
                <w:rFonts w:asciiTheme="majorHAnsi" w:hAnsiTheme="majorHAnsi" w:cstheme="majorHAnsi"/>
                <w:sz w:val="20"/>
                <w:szCs w:val="20"/>
              </w:rPr>
            </w:pPr>
          </w:p>
        </w:tc>
        <w:tc>
          <w:tcPr>
            <w:tcW w:w="1234" w:type="dxa"/>
            <w:hideMark/>
          </w:tcPr>
          <w:p w14:paraId="0F11470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MC-TLM-CALG-048-2024</w:t>
            </w:r>
          </w:p>
        </w:tc>
        <w:tc>
          <w:tcPr>
            <w:tcW w:w="3540" w:type="dxa"/>
            <w:hideMark/>
          </w:tcPr>
          <w:p w14:paraId="24DDEF5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SISTEMAS Y EQUIPOS DE CONFORT TÉRMICO</w:t>
            </w:r>
          </w:p>
        </w:tc>
        <w:tc>
          <w:tcPr>
            <w:tcW w:w="1269" w:type="dxa"/>
            <w:hideMark/>
          </w:tcPr>
          <w:p w14:paraId="7132DD3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475DDC0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2/09/2024 9:59 AM </w:t>
            </w:r>
            <w:r w:rsidRPr="00AE719D">
              <w:rPr>
                <w:rFonts w:asciiTheme="majorHAnsi" w:hAnsiTheme="majorHAnsi" w:cstheme="majorHAnsi"/>
                <w:i/>
                <w:iCs/>
                <w:sz w:val="20"/>
                <w:szCs w:val="20"/>
              </w:rPr>
              <w:t>(UTC -5 horas)</w:t>
            </w:r>
          </w:p>
        </w:tc>
        <w:tc>
          <w:tcPr>
            <w:tcW w:w="1200" w:type="dxa"/>
            <w:hideMark/>
          </w:tcPr>
          <w:p w14:paraId="76CDD56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5/09/2024 3:00 PM </w:t>
            </w:r>
            <w:r w:rsidRPr="00AE719D">
              <w:rPr>
                <w:rFonts w:asciiTheme="majorHAnsi" w:hAnsiTheme="majorHAnsi" w:cstheme="majorHAnsi"/>
                <w:i/>
                <w:iCs/>
                <w:sz w:val="20"/>
                <w:szCs w:val="20"/>
              </w:rPr>
              <w:t>(UTC -5 horas)</w:t>
            </w:r>
          </w:p>
        </w:tc>
        <w:tc>
          <w:tcPr>
            <w:tcW w:w="1500" w:type="dxa"/>
            <w:hideMark/>
          </w:tcPr>
          <w:p w14:paraId="51817FE0"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38.324.738 COP</w:t>
            </w:r>
          </w:p>
        </w:tc>
      </w:tr>
      <w:tr w:rsidR="006D44DA" w:rsidRPr="00AE719D" w14:paraId="057C3E02" w14:textId="77777777" w:rsidTr="000115EB">
        <w:trPr>
          <w:trHeight w:val="960"/>
        </w:trPr>
        <w:tc>
          <w:tcPr>
            <w:tcW w:w="1216" w:type="dxa"/>
            <w:noWrap/>
            <w:hideMark/>
          </w:tcPr>
          <w:p w14:paraId="3CFDFAB7"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5888" behindDoc="0" locked="0" layoutInCell="1" allowOverlap="1" wp14:anchorId="20BD5438" wp14:editId="1A54A15E">
                  <wp:simplePos x="0" y="0"/>
                  <wp:positionH relativeFrom="column">
                    <wp:posOffset>0</wp:posOffset>
                  </wp:positionH>
                  <wp:positionV relativeFrom="paragraph">
                    <wp:posOffset>0</wp:posOffset>
                  </wp:positionV>
                  <wp:extent cx="152400" cy="104775"/>
                  <wp:effectExtent l="0" t="0" r="0" b="9525"/>
                  <wp:wrapNone/>
                  <wp:docPr id="1883838629" name="Imagen 7">
                    <a:extLst xmlns:a="http://schemas.openxmlformats.org/drawingml/2006/main">
                      <a:ext uri="{FF2B5EF4-FFF2-40B4-BE49-F238E27FC236}">
                        <a16:creationId xmlns:a16="http://schemas.microsoft.com/office/drawing/2014/main" id="{F1231E41-51F3-2875-333D-2312B696A658}"/>
                      </a:ext>
                    </a:extLst>
                  </wp:docPr>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F1231E41-51F3-2875-333D-2312B696A658}"/>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5FFCBDBC"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768824E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7E07AD09" w14:textId="77777777" w:rsidR="006D44DA" w:rsidRPr="00AE719D" w:rsidRDefault="006D44DA" w:rsidP="000115EB">
            <w:pPr>
              <w:rPr>
                <w:rFonts w:asciiTheme="majorHAnsi" w:hAnsiTheme="majorHAnsi" w:cstheme="majorHAnsi"/>
                <w:sz w:val="20"/>
                <w:szCs w:val="20"/>
              </w:rPr>
            </w:pPr>
          </w:p>
        </w:tc>
        <w:tc>
          <w:tcPr>
            <w:tcW w:w="1234" w:type="dxa"/>
            <w:hideMark/>
          </w:tcPr>
          <w:p w14:paraId="0786270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MC-TLM-CALG-012-2024</w:t>
            </w:r>
          </w:p>
        </w:tc>
        <w:tc>
          <w:tcPr>
            <w:tcW w:w="3540" w:type="dxa"/>
            <w:hideMark/>
          </w:tcPr>
          <w:p w14:paraId="40935191"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COMPRA EQUIPOS TV y EyT TECNOPARQUE</w:t>
            </w:r>
          </w:p>
        </w:tc>
        <w:tc>
          <w:tcPr>
            <w:tcW w:w="1269" w:type="dxa"/>
            <w:hideMark/>
          </w:tcPr>
          <w:p w14:paraId="6EACF95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7CE6A4B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27/08/2024 2:58 PM </w:t>
            </w:r>
            <w:r w:rsidRPr="00AE719D">
              <w:rPr>
                <w:rFonts w:asciiTheme="majorHAnsi" w:hAnsiTheme="majorHAnsi" w:cstheme="majorHAnsi"/>
                <w:i/>
                <w:iCs/>
                <w:sz w:val="20"/>
                <w:szCs w:val="20"/>
              </w:rPr>
              <w:t>(UTC -5 horas)</w:t>
            </w:r>
          </w:p>
        </w:tc>
        <w:tc>
          <w:tcPr>
            <w:tcW w:w="1200" w:type="dxa"/>
            <w:hideMark/>
          </w:tcPr>
          <w:p w14:paraId="374A1B8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30/08/2024 5:00 PM </w:t>
            </w:r>
            <w:r w:rsidRPr="00AE719D">
              <w:rPr>
                <w:rFonts w:asciiTheme="majorHAnsi" w:hAnsiTheme="majorHAnsi" w:cstheme="majorHAnsi"/>
                <w:i/>
                <w:iCs/>
                <w:sz w:val="20"/>
                <w:szCs w:val="20"/>
              </w:rPr>
              <w:t>(UTC -5 horas)</w:t>
            </w:r>
          </w:p>
        </w:tc>
        <w:tc>
          <w:tcPr>
            <w:tcW w:w="1500" w:type="dxa"/>
            <w:hideMark/>
          </w:tcPr>
          <w:p w14:paraId="310E1D06"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97.235.760 COP</w:t>
            </w:r>
          </w:p>
        </w:tc>
      </w:tr>
      <w:tr w:rsidR="006D44DA" w:rsidRPr="00AE719D" w14:paraId="32D84EA4" w14:textId="77777777" w:rsidTr="000115EB">
        <w:trPr>
          <w:trHeight w:val="1200"/>
        </w:trPr>
        <w:tc>
          <w:tcPr>
            <w:tcW w:w="1216" w:type="dxa"/>
            <w:noWrap/>
            <w:hideMark/>
          </w:tcPr>
          <w:p w14:paraId="0A638981"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6912" behindDoc="0" locked="0" layoutInCell="1" allowOverlap="1" wp14:anchorId="3BBF4F64" wp14:editId="35558AAB">
                  <wp:simplePos x="0" y="0"/>
                  <wp:positionH relativeFrom="column">
                    <wp:posOffset>0</wp:posOffset>
                  </wp:positionH>
                  <wp:positionV relativeFrom="paragraph">
                    <wp:posOffset>0</wp:posOffset>
                  </wp:positionV>
                  <wp:extent cx="152400" cy="104775"/>
                  <wp:effectExtent l="0" t="0" r="0" b="9525"/>
                  <wp:wrapNone/>
                  <wp:docPr id="381799534" name="Imagen 6">
                    <a:extLst xmlns:a="http://schemas.openxmlformats.org/drawingml/2006/main">
                      <a:ext uri="{FF2B5EF4-FFF2-40B4-BE49-F238E27FC236}">
                        <a16:creationId xmlns:a16="http://schemas.microsoft.com/office/drawing/2014/main" id="{D879DF8D-8286-97ED-C719-5BBA2DB049E7}"/>
                      </a:ext>
                    </a:extLst>
                  </wp:docPr>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D879DF8D-8286-97ED-C719-5BBA2DB049E7}"/>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10F382E5" w14:textId="77777777" w:rsidTr="000115EB">
              <w:trPr>
                <w:trHeight w:val="120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279EC4E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68F14389" w14:textId="77777777" w:rsidR="006D44DA" w:rsidRPr="00AE719D" w:rsidRDefault="006D44DA" w:rsidP="000115EB">
            <w:pPr>
              <w:rPr>
                <w:rFonts w:asciiTheme="majorHAnsi" w:hAnsiTheme="majorHAnsi" w:cstheme="majorHAnsi"/>
                <w:sz w:val="20"/>
                <w:szCs w:val="20"/>
              </w:rPr>
            </w:pPr>
          </w:p>
        </w:tc>
        <w:tc>
          <w:tcPr>
            <w:tcW w:w="1234" w:type="dxa"/>
            <w:hideMark/>
          </w:tcPr>
          <w:p w14:paraId="0AB8CF6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MC-CIC-9226-501-2024</w:t>
            </w:r>
          </w:p>
        </w:tc>
        <w:tc>
          <w:tcPr>
            <w:tcW w:w="3540" w:type="dxa"/>
            <w:hideMark/>
          </w:tcPr>
          <w:p w14:paraId="6EF8E30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Prestación de servicios consistente en mantenimiento y calibración de equipos requeridos para el desarrollo del proyecto SGPS-12078-2024 - Laboratorio de Suelos y Pavimentos</w:t>
            </w:r>
          </w:p>
        </w:tc>
        <w:tc>
          <w:tcPr>
            <w:tcW w:w="1269" w:type="dxa"/>
            <w:hideMark/>
          </w:tcPr>
          <w:p w14:paraId="5D2A6A1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3F35F45D"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8/08/2024 5:05 PM </w:t>
            </w:r>
            <w:r w:rsidRPr="00AE719D">
              <w:rPr>
                <w:rFonts w:asciiTheme="majorHAnsi" w:hAnsiTheme="majorHAnsi" w:cstheme="majorHAnsi"/>
                <w:i/>
                <w:iCs/>
                <w:sz w:val="20"/>
                <w:szCs w:val="20"/>
              </w:rPr>
              <w:t>(UTC -5 horas)</w:t>
            </w:r>
          </w:p>
        </w:tc>
        <w:tc>
          <w:tcPr>
            <w:tcW w:w="1200" w:type="dxa"/>
            <w:hideMark/>
          </w:tcPr>
          <w:p w14:paraId="13EC6A1B"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13/08/2024 5:00 PM </w:t>
            </w:r>
            <w:r w:rsidRPr="00AE719D">
              <w:rPr>
                <w:rFonts w:asciiTheme="majorHAnsi" w:hAnsiTheme="majorHAnsi" w:cstheme="majorHAnsi"/>
                <w:i/>
                <w:iCs/>
                <w:sz w:val="20"/>
                <w:szCs w:val="20"/>
              </w:rPr>
              <w:t>(UTC -5 horas)</w:t>
            </w:r>
          </w:p>
        </w:tc>
        <w:tc>
          <w:tcPr>
            <w:tcW w:w="1500" w:type="dxa"/>
            <w:hideMark/>
          </w:tcPr>
          <w:p w14:paraId="6FAF4ADF"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35.336.212,84 COP</w:t>
            </w:r>
          </w:p>
        </w:tc>
      </w:tr>
      <w:tr w:rsidR="006D44DA" w:rsidRPr="00AE719D" w14:paraId="2EBC1C57" w14:textId="77777777" w:rsidTr="000115EB">
        <w:trPr>
          <w:trHeight w:val="1200"/>
        </w:trPr>
        <w:tc>
          <w:tcPr>
            <w:tcW w:w="1216" w:type="dxa"/>
            <w:noWrap/>
            <w:hideMark/>
          </w:tcPr>
          <w:p w14:paraId="2F4DA659"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7936" behindDoc="0" locked="0" layoutInCell="1" allowOverlap="1" wp14:anchorId="2DB585B5" wp14:editId="27D74473">
                  <wp:simplePos x="0" y="0"/>
                  <wp:positionH relativeFrom="column">
                    <wp:posOffset>0</wp:posOffset>
                  </wp:positionH>
                  <wp:positionV relativeFrom="paragraph">
                    <wp:posOffset>0</wp:posOffset>
                  </wp:positionV>
                  <wp:extent cx="152400" cy="104775"/>
                  <wp:effectExtent l="0" t="0" r="0" b="9525"/>
                  <wp:wrapNone/>
                  <wp:docPr id="153172376" name="Imagen 5">
                    <a:extLst xmlns:a="http://schemas.openxmlformats.org/drawingml/2006/main">
                      <a:ext uri="{FF2B5EF4-FFF2-40B4-BE49-F238E27FC236}">
                        <a16:creationId xmlns:a16="http://schemas.microsoft.com/office/drawing/2014/main" id="{D75FC523-76F3-68A1-E715-F87333896532}"/>
                      </a:ext>
                    </a:extLst>
                  </wp:docPr>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D75FC523-76F3-68A1-E715-F87333896532}"/>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24457D4F" w14:textId="77777777" w:rsidTr="000115EB">
              <w:trPr>
                <w:trHeight w:val="120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50F363B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18E51605" w14:textId="77777777" w:rsidR="006D44DA" w:rsidRPr="00AE719D" w:rsidRDefault="006D44DA" w:rsidP="000115EB">
            <w:pPr>
              <w:rPr>
                <w:rFonts w:asciiTheme="majorHAnsi" w:hAnsiTheme="majorHAnsi" w:cstheme="majorHAnsi"/>
                <w:sz w:val="20"/>
                <w:szCs w:val="20"/>
              </w:rPr>
            </w:pPr>
          </w:p>
        </w:tc>
        <w:tc>
          <w:tcPr>
            <w:tcW w:w="1234" w:type="dxa"/>
            <w:hideMark/>
          </w:tcPr>
          <w:p w14:paraId="278A7AE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MC-TLM-CALG-037-2024</w:t>
            </w:r>
          </w:p>
        </w:tc>
        <w:tc>
          <w:tcPr>
            <w:tcW w:w="3540" w:type="dxa"/>
            <w:hideMark/>
          </w:tcPr>
          <w:p w14:paraId="06990B5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PREVENTIVO Y CORRECTIVO DE LOS EQUIPOS DE LAS UNIDADES MÓVILES DE PROCESAMIENTO DE FRUTAS Y NUTRICIÓN ANIMAL DEL CENTRO</w:t>
            </w:r>
          </w:p>
        </w:tc>
        <w:tc>
          <w:tcPr>
            <w:tcW w:w="1269" w:type="dxa"/>
            <w:hideMark/>
          </w:tcPr>
          <w:p w14:paraId="3855D1C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4F5D2405"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31/07/2024 8:29 AM </w:t>
            </w:r>
            <w:r w:rsidRPr="00AE719D">
              <w:rPr>
                <w:rFonts w:asciiTheme="majorHAnsi" w:hAnsiTheme="majorHAnsi" w:cstheme="majorHAnsi"/>
                <w:i/>
                <w:iCs/>
                <w:sz w:val="20"/>
                <w:szCs w:val="20"/>
              </w:rPr>
              <w:t>(UTC -5 horas)</w:t>
            </w:r>
          </w:p>
        </w:tc>
        <w:tc>
          <w:tcPr>
            <w:tcW w:w="1200" w:type="dxa"/>
            <w:hideMark/>
          </w:tcPr>
          <w:p w14:paraId="433BA92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5/08/2024 12:00 PM </w:t>
            </w:r>
            <w:r w:rsidRPr="00AE719D">
              <w:rPr>
                <w:rFonts w:asciiTheme="majorHAnsi" w:hAnsiTheme="majorHAnsi" w:cstheme="majorHAnsi"/>
                <w:i/>
                <w:iCs/>
                <w:sz w:val="20"/>
                <w:szCs w:val="20"/>
              </w:rPr>
              <w:t>(UTC -5 horas)</w:t>
            </w:r>
          </w:p>
        </w:tc>
        <w:tc>
          <w:tcPr>
            <w:tcW w:w="1500" w:type="dxa"/>
            <w:hideMark/>
          </w:tcPr>
          <w:p w14:paraId="62D55F76"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8.984.500 COP</w:t>
            </w:r>
          </w:p>
        </w:tc>
      </w:tr>
      <w:tr w:rsidR="006D44DA" w:rsidRPr="00AE719D" w14:paraId="6D7B6BA8" w14:textId="77777777" w:rsidTr="000115EB">
        <w:trPr>
          <w:trHeight w:val="2640"/>
        </w:trPr>
        <w:tc>
          <w:tcPr>
            <w:tcW w:w="1216" w:type="dxa"/>
            <w:noWrap/>
            <w:hideMark/>
          </w:tcPr>
          <w:p w14:paraId="019813B8"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lastRenderedPageBreak/>
              <w:drawing>
                <wp:anchor distT="0" distB="0" distL="114300" distR="114300" simplePos="0" relativeHeight="251688960" behindDoc="0" locked="0" layoutInCell="1" allowOverlap="1" wp14:anchorId="0869C580" wp14:editId="5CCA6B2F">
                  <wp:simplePos x="0" y="0"/>
                  <wp:positionH relativeFrom="column">
                    <wp:posOffset>0</wp:posOffset>
                  </wp:positionH>
                  <wp:positionV relativeFrom="paragraph">
                    <wp:posOffset>0</wp:posOffset>
                  </wp:positionV>
                  <wp:extent cx="152400" cy="104775"/>
                  <wp:effectExtent l="0" t="0" r="0" b="9525"/>
                  <wp:wrapNone/>
                  <wp:docPr id="1902372770" name="Imagen 4">
                    <a:extLst xmlns:a="http://schemas.openxmlformats.org/drawingml/2006/main">
                      <a:ext uri="{FF2B5EF4-FFF2-40B4-BE49-F238E27FC236}">
                        <a16:creationId xmlns:a16="http://schemas.microsoft.com/office/drawing/2014/main" id="{20CA7159-5017-5A91-A828-3A5989714851}"/>
                      </a:ext>
                    </a:extLst>
                  </wp:docPr>
                  <wp:cNvGraphicFramePr/>
                  <a:graphic xmlns:a="http://schemas.openxmlformats.org/drawingml/2006/main">
                    <a:graphicData uri="http://schemas.openxmlformats.org/drawingml/2006/picture">
                      <pic:pic xmlns:pic="http://schemas.openxmlformats.org/drawingml/2006/picture">
                        <pic:nvPicPr>
                          <pic:cNvPr id="15" name="Imagen 14">
                            <a:extLst>
                              <a:ext uri="{FF2B5EF4-FFF2-40B4-BE49-F238E27FC236}">
                                <a16:creationId xmlns:a16="http://schemas.microsoft.com/office/drawing/2014/main" id="{20CA7159-5017-5A91-A828-3A598971485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275B6B27" w14:textId="77777777" w:rsidTr="000115EB">
              <w:trPr>
                <w:trHeight w:val="264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423932B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792A7FD8" w14:textId="77777777" w:rsidR="006D44DA" w:rsidRPr="00AE719D" w:rsidRDefault="006D44DA" w:rsidP="000115EB">
            <w:pPr>
              <w:rPr>
                <w:rFonts w:asciiTheme="majorHAnsi" w:hAnsiTheme="majorHAnsi" w:cstheme="majorHAnsi"/>
                <w:sz w:val="20"/>
                <w:szCs w:val="20"/>
              </w:rPr>
            </w:pPr>
          </w:p>
        </w:tc>
        <w:tc>
          <w:tcPr>
            <w:tcW w:w="1234" w:type="dxa"/>
            <w:hideMark/>
          </w:tcPr>
          <w:p w14:paraId="6E77890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SAMC-CIC-9226-492 -2024 (Manifestación de interés (Menor Cuantía)) (Presentación de oferta)</w:t>
            </w:r>
          </w:p>
        </w:tc>
        <w:tc>
          <w:tcPr>
            <w:tcW w:w="3540" w:type="dxa"/>
            <w:hideMark/>
          </w:tcPr>
          <w:p w14:paraId="7AD0288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suministro, instalación y adecuación de equipos de extracción de humos metálicos (Manifestación de interés (Menor Cuantía)) (Presentación de oferta)</w:t>
            </w:r>
          </w:p>
        </w:tc>
        <w:tc>
          <w:tcPr>
            <w:tcW w:w="1269" w:type="dxa"/>
            <w:hideMark/>
          </w:tcPr>
          <w:p w14:paraId="1EB0C22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7E1521A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22/07/2024 8:59 AM </w:t>
            </w:r>
            <w:r w:rsidRPr="00AE719D">
              <w:rPr>
                <w:rFonts w:asciiTheme="majorHAnsi" w:hAnsiTheme="majorHAnsi" w:cstheme="majorHAnsi"/>
                <w:i/>
                <w:iCs/>
                <w:sz w:val="20"/>
                <w:szCs w:val="20"/>
              </w:rPr>
              <w:t>(UTC -5 horas)</w:t>
            </w:r>
          </w:p>
        </w:tc>
        <w:tc>
          <w:tcPr>
            <w:tcW w:w="1200" w:type="dxa"/>
            <w:hideMark/>
          </w:tcPr>
          <w:p w14:paraId="0BB96C4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29/07/2024 6:00 PM </w:t>
            </w:r>
            <w:r w:rsidRPr="00AE719D">
              <w:rPr>
                <w:rFonts w:asciiTheme="majorHAnsi" w:hAnsiTheme="majorHAnsi" w:cstheme="majorHAnsi"/>
                <w:i/>
                <w:iCs/>
                <w:sz w:val="20"/>
                <w:szCs w:val="20"/>
              </w:rPr>
              <w:t>(UTC -5 horas)</w:t>
            </w:r>
          </w:p>
        </w:tc>
        <w:tc>
          <w:tcPr>
            <w:tcW w:w="1500" w:type="dxa"/>
            <w:hideMark/>
          </w:tcPr>
          <w:p w14:paraId="637A7F88"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1.065.228.488,1 COP</w:t>
            </w:r>
          </w:p>
        </w:tc>
      </w:tr>
      <w:tr w:rsidR="006D44DA" w:rsidRPr="00AE719D" w14:paraId="6D84C5F8" w14:textId="77777777" w:rsidTr="000115EB">
        <w:trPr>
          <w:trHeight w:val="960"/>
        </w:trPr>
        <w:tc>
          <w:tcPr>
            <w:tcW w:w="1216" w:type="dxa"/>
            <w:noWrap/>
            <w:hideMark/>
          </w:tcPr>
          <w:p w14:paraId="32DDF169"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89984" behindDoc="0" locked="0" layoutInCell="1" allowOverlap="1" wp14:anchorId="5C7EBFF1" wp14:editId="0596608A">
                  <wp:simplePos x="0" y="0"/>
                  <wp:positionH relativeFrom="column">
                    <wp:posOffset>0</wp:posOffset>
                  </wp:positionH>
                  <wp:positionV relativeFrom="paragraph">
                    <wp:posOffset>0</wp:posOffset>
                  </wp:positionV>
                  <wp:extent cx="152400" cy="104775"/>
                  <wp:effectExtent l="0" t="0" r="0" b="9525"/>
                  <wp:wrapNone/>
                  <wp:docPr id="1618698418" name="Imagen 3">
                    <a:extLst xmlns:a="http://schemas.openxmlformats.org/drawingml/2006/main">
                      <a:ext uri="{FF2B5EF4-FFF2-40B4-BE49-F238E27FC236}">
                        <a16:creationId xmlns:a16="http://schemas.microsoft.com/office/drawing/2014/main" id="{C08162F8-62DE-B3FD-4F45-FCFAF8D04EA9}"/>
                      </a:ext>
                    </a:extLst>
                  </wp:docPr>
                  <wp:cNvGraphicFramePr/>
                  <a:graphic xmlns:a="http://schemas.openxmlformats.org/drawingml/2006/main">
                    <a:graphicData uri="http://schemas.openxmlformats.org/drawingml/2006/picture">
                      <pic:pic xmlns:pic="http://schemas.openxmlformats.org/drawingml/2006/picture">
                        <pic:nvPicPr>
                          <pic:cNvPr id="16" name="Imagen 15">
                            <a:extLst>
                              <a:ext uri="{FF2B5EF4-FFF2-40B4-BE49-F238E27FC236}">
                                <a16:creationId xmlns:a16="http://schemas.microsoft.com/office/drawing/2014/main" id="{C08162F8-62DE-B3FD-4F45-FCFAF8D04EA9}"/>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4B833EFF"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078319D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05149A14" w14:textId="77777777" w:rsidR="006D44DA" w:rsidRPr="00AE719D" w:rsidRDefault="006D44DA" w:rsidP="000115EB">
            <w:pPr>
              <w:rPr>
                <w:rFonts w:asciiTheme="majorHAnsi" w:hAnsiTheme="majorHAnsi" w:cstheme="majorHAnsi"/>
                <w:sz w:val="20"/>
                <w:szCs w:val="20"/>
              </w:rPr>
            </w:pPr>
          </w:p>
        </w:tc>
        <w:tc>
          <w:tcPr>
            <w:tcW w:w="1234" w:type="dxa"/>
            <w:hideMark/>
          </w:tcPr>
          <w:p w14:paraId="026791C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MC-TLM-CALG-033-2024</w:t>
            </w:r>
          </w:p>
        </w:tc>
        <w:tc>
          <w:tcPr>
            <w:tcW w:w="3540" w:type="dxa"/>
            <w:hideMark/>
          </w:tcPr>
          <w:p w14:paraId="5A509F6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Correctivo y/o Preventivo de los Equipos de las Líneas del Tecnoparque Tolima</w:t>
            </w:r>
          </w:p>
        </w:tc>
        <w:tc>
          <w:tcPr>
            <w:tcW w:w="1269" w:type="dxa"/>
            <w:hideMark/>
          </w:tcPr>
          <w:p w14:paraId="620085B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4916B70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8/07/2024 9:58 AM </w:t>
            </w:r>
            <w:r w:rsidRPr="00AE719D">
              <w:rPr>
                <w:rFonts w:asciiTheme="majorHAnsi" w:hAnsiTheme="majorHAnsi" w:cstheme="majorHAnsi"/>
                <w:i/>
                <w:iCs/>
                <w:sz w:val="20"/>
                <w:szCs w:val="20"/>
              </w:rPr>
              <w:t>(UTC -5 horas)</w:t>
            </w:r>
          </w:p>
        </w:tc>
        <w:tc>
          <w:tcPr>
            <w:tcW w:w="1200" w:type="dxa"/>
            <w:hideMark/>
          </w:tcPr>
          <w:p w14:paraId="0777DFC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11/07/2024 12:00 PM </w:t>
            </w:r>
            <w:r w:rsidRPr="00AE719D">
              <w:rPr>
                <w:rFonts w:asciiTheme="majorHAnsi" w:hAnsiTheme="majorHAnsi" w:cstheme="majorHAnsi"/>
                <w:i/>
                <w:iCs/>
                <w:sz w:val="20"/>
                <w:szCs w:val="20"/>
              </w:rPr>
              <w:t>(UTC -5 horas)</w:t>
            </w:r>
          </w:p>
        </w:tc>
        <w:tc>
          <w:tcPr>
            <w:tcW w:w="1500" w:type="dxa"/>
            <w:hideMark/>
          </w:tcPr>
          <w:p w14:paraId="1CCFDE02"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43.720.415 COP</w:t>
            </w:r>
          </w:p>
        </w:tc>
      </w:tr>
      <w:tr w:rsidR="006D44DA" w:rsidRPr="00AE719D" w14:paraId="1DA1AE8D" w14:textId="77777777" w:rsidTr="000115EB">
        <w:trPr>
          <w:trHeight w:val="960"/>
        </w:trPr>
        <w:tc>
          <w:tcPr>
            <w:tcW w:w="1216" w:type="dxa"/>
            <w:hideMark/>
          </w:tcPr>
          <w:p w14:paraId="19ABB3BB"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SENA REGIONAL TOLIMA 1</w:t>
            </w:r>
          </w:p>
        </w:tc>
        <w:tc>
          <w:tcPr>
            <w:tcW w:w="1234" w:type="dxa"/>
            <w:hideMark/>
          </w:tcPr>
          <w:p w14:paraId="6B1AD17E"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MC-TLM-CALG-011-2024</w:t>
            </w:r>
          </w:p>
        </w:tc>
        <w:tc>
          <w:tcPr>
            <w:tcW w:w="3540" w:type="dxa"/>
            <w:hideMark/>
          </w:tcPr>
          <w:p w14:paraId="7EE3B054"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COMPRA EQUIPOS BIOTECNOLOGÍA Y NANOTECNOLOGÍA</w:t>
            </w:r>
          </w:p>
        </w:tc>
        <w:tc>
          <w:tcPr>
            <w:tcW w:w="1269" w:type="dxa"/>
            <w:hideMark/>
          </w:tcPr>
          <w:p w14:paraId="7FF0738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468D33B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28/05/2024 8:11 PM </w:t>
            </w:r>
            <w:r w:rsidRPr="00AE719D">
              <w:rPr>
                <w:rFonts w:asciiTheme="majorHAnsi" w:hAnsiTheme="majorHAnsi" w:cstheme="majorHAnsi"/>
                <w:i/>
                <w:iCs/>
                <w:sz w:val="20"/>
                <w:szCs w:val="20"/>
              </w:rPr>
              <w:t>(UTC -5 horas)</w:t>
            </w:r>
          </w:p>
        </w:tc>
        <w:tc>
          <w:tcPr>
            <w:tcW w:w="1200" w:type="dxa"/>
            <w:hideMark/>
          </w:tcPr>
          <w:p w14:paraId="32052748"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6/06/2024 6:00 PM </w:t>
            </w:r>
            <w:r w:rsidRPr="00AE719D">
              <w:rPr>
                <w:rFonts w:asciiTheme="majorHAnsi" w:hAnsiTheme="majorHAnsi" w:cstheme="majorHAnsi"/>
                <w:i/>
                <w:iCs/>
                <w:sz w:val="20"/>
                <w:szCs w:val="20"/>
              </w:rPr>
              <w:t>(UTC -5 horas)</w:t>
            </w:r>
          </w:p>
        </w:tc>
        <w:tc>
          <w:tcPr>
            <w:tcW w:w="1500" w:type="dxa"/>
            <w:hideMark/>
          </w:tcPr>
          <w:p w14:paraId="0AC0B30D"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47.494.289 COP</w:t>
            </w:r>
          </w:p>
        </w:tc>
      </w:tr>
      <w:tr w:rsidR="006D44DA" w:rsidRPr="00AE719D" w14:paraId="0A0A065B" w14:textId="77777777" w:rsidTr="000115EB">
        <w:trPr>
          <w:trHeight w:val="1200"/>
        </w:trPr>
        <w:tc>
          <w:tcPr>
            <w:tcW w:w="1216" w:type="dxa"/>
            <w:noWrap/>
            <w:hideMark/>
          </w:tcPr>
          <w:p w14:paraId="5EB20CDF"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91008" behindDoc="0" locked="0" layoutInCell="1" allowOverlap="1" wp14:anchorId="75023564" wp14:editId="70C7446C">
                  <wp:simplePos x="0" y="0"/>
                  <wp:positionH relativeFrom="column">
                    <wp:posOffset>0</wp:posOffset>
                  </wp:positionH>
                  <wp:positionV relativeFrom="paragraph">
                    <wp:posOffset>0</wp:posOffset>
                  </wp:positionV>
                  <wp:extent cx="152400" cy="104775"/>
                  <wp:effectExtent l="0" t="0" r="0" b="9525"/>
                  <wp:wrapNone/>
                  <wp:docPr id="343234947" name="Imagen 2">
                    <a:extLst xmlns:a="http://schemas.openxmlformats.org/drawingml/2006/main">
                      <a:ext uri="{FF2B5EF4-FFF2-40B4-BE49-F238E27FC236}">
                        <a16:creationId xmlns:a16="http://schemas.microsoft.com/office/drawing/2014/main" id="{C97E52B9-E48B-A0C1-9199-C557F943424C}"/>
                      </a:ext>
                    </a:extLst>
                  </wp:docPr>
                  <wp:cNvGraphicFramePr/>
                  <a:graphic xmlns:a="http://schemas.openxmlformats.org/drawingml/2006/main">
                    <a:graphicData uri="http://schemas.openxmlformats.org/drawingml/2006/picture">
                      <pic:pic xmlns:pic="http://schemas.openxmlformats.org/drawingml/2006/picture">
                        <pic:nvPicPr>
                          <pic:cNvPr id="17" name="Imagen 16">
                            <a:extLst>
                              <a:ext uri="{FF2B5EF4-FFF2-40B4-BE49-F238E27FC236}">
                                <a16:creationId xmlns:a16="http://schemas.microsoft.com/office/drawing/2014/main" id="{C97E52B9-E48B-A0C1-9199-C557F943424C}"/>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1A0C1940" w14:textId="77777777" w:rsidTr="000115EB">
              <w:trPr>
                <w:trHeight w:val="120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6FA4A2F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5D315F20" w14:textId="77777777" w:rsidR="006D44DA" w:rsidRPr="00AE719D" w:rsidRDefault="006D44DA" w:rsidP="000115EB">
            <w:pPr>
              <w:rPr>
                <w:rFonts w:asciiTheme="majorHAnsi" w:hAnsiTheme="majorHAnsi" w:cstheme="majorHAnsi"/>
                <w:sz w:val="20"/>
                <w:szCs w:val="20"/>
              </w:rPr>
            </w:pPr>
          </w:p>
        </w:tc>
        <w:tc>
          <w:tcPr>
            <w:tcW w:w="1234" w:type="dxa"/>
            <w:hideMark/>
          </w:tcPr>
          <w:p w14:paraId="4A1B3547"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MC-TLM-CALG-025-2024</w:t>
            </w:r>
          </w:p>
        </w:tc>
        <w:tc>
          <w:tcPr>
            <w:tcW w:w="3540" w:type="dxa"/>
            <w:hideMark/>
          </w:tcPr>
          <w:p w14:paraId="10D7B8C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PREVENTIVO, CORRECTIVO Y CALIBRACIÓN PARA LOS EQUIPOS DEL LABORATORIO DE SERVICIOS TECNOLÓGICOS DEL CENTRO AGROPECUARIO LA GRANJA DEL SENA</w:t>
            </w:r>
          </w:p>
        </w:tc>
        <w:tc>
          <w:tcPr>
            <w:tcW w:w="1269" w:type="dxa"/>
            <w:hideMark/>
          </w:tcPr>
          <w:p w14:paraId="3ED8E89C"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22609099"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23/05/2024 5:20 PM </w:t>
            </w:r>
            <w:r w:rsidRPr="00AE719D">
              <w:rPr>
                <w:rFonts w:asciiTheme="majorHAnsi" w:hAnsiTheme="majorHAnsi" w:cstheme="majorHAnsi"/>
                <w:i/>
                <w:iCs/>
                <w:sz w:val="20"/>
                <w:szCs w:val="20"/>
              </w:rPr>
              <w:t>(UTC -5 horas)</w:t>
            </w:r>
          </w:p>
        </w:tc>
        <w:tc>
          <w:tcPr>
            <w:tcW w:w="1200" w:type="dxa"/>
            <w:hideMark/>
          </w:tcPr>
          <w:p w14:paraId="6D9814F2"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29/05/2024 4:30 PM </w:t>
            </w:r>
            <w:r w:rsidRPr="00AE719D">
              <w:rPr>
                <w:rFonts w:asciiTheme="majorHAnsi" w:hAnsiTheme="majorHAnsi" w:cstheme="majorHAnsi"/>
                <w:i/>
                <w:iCs/>
                <w:sz w:val="20"/>
                <w:szCs w:val="20"/>
              </w:rPr>
              <w:t>(UTC -5 horas)</w:t>
            </w:r>
          </w:p>
        </w:tc>
        <w:tc>
          <w:tcPr>
            <w:tcW w:w="1500" w:type="dxa"/>
            <w:hideMark/>
          </w:tcPr>
          <w:p w14:paraId="7E68802C"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52.036.222 COP</w:t>
            </w:r>
          </w:p>
        </w:tc>
      </w:tr>
      <w:tr w:rsidR="006D44DA" w:rsidRPr="00AE719D" w14:paraId="49F8A218" w14:textId="77777777" w:rsidTr="000115EB">
        <w:trPr>
          <w:trHeight w:val="960"/>
        </w:trPr>
        <w:tc>
          <w:tcPr>
            <w:tcW w:w="1216" w:type="dxa"/>
            <w:noWrap/>
            <w:hideMark/>
          </w:tcPr>
          <w:p w14:paraId="3DA299F7"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noProof/>
                <w:sz w:val="20"/>
                <w:szCs w:val="20"/>
              </w:rPr>
              <w:drawing>
                <wp:anchor distT="0" distB="0" distL="114300" distR="114300" simplePos="0" relativeHeight="251692032" behindDoc="0" locked="0" layoutInCell="1" allowOverlap="1" wp14:anchorId="2798D042" wp14:editId="2C7A328B">
                  <wp:simplePos x="0" y="0"/>
                  <wp:positionH relativeFrom="column">
                    <wp:posOffset>0</wp:posOffset>
                  </wp:positionH>
                  <wp:positionV relativeFrom="paragraph">
                    <wp:posOffset>0</wp:posOffset>
                  </wp:positionV>
                  <wp:extent cx="152400" cy="104775"/>
                  <wp:effectExtent l="0" t="0" r="0" b="9525"/>
                  <wp:wrapNone/>
                  <wp:docPr id="1667836434" name="Imagen 1">
                    <a:extLst xmlns:a="http://schemas.openxmlformats.org/drawingml/2006/main">
                      <a:ext uri="{FF2B5EF4-FFF2-40B4-BE49-F238E27FC236}">
                        <a16:creationId xmlns:a16="http://schemas.microsoft.com/office/drawing/2014/main" id="{E69255C0-1E64-755D-1371-79439C396885}"/>
                      </a:ext>
                    </a:extLst>
                  </wp:docPr>
                  <wp:cNvGraphicFramePr/>
                  <a:graphic xmlns:a="http://schemas.openxmlformats.org/drawingml/2006/main">
                    <a:graphicData uri="http://schemas.openxmlformats.org/drawingml/2006/picture">
                      <pic:pic xmlns:pic="http://schemas.openxmlformats.org/drawingml/2006/picture">
                        <pic:nvPicPr>
                          <pic:cNvPr id="18" name="Imagen 17">
                            <a:extLst>
                              <a:ext uri="{FF2B5EF4-FFF2-40B4-BE49-F238E27FC236}">
                                <a16:creationId xmlns:a16="http://schemas.microsoft.com/office/drawing/2014/main" id="{E69255C0-1E64-755D-1371-79439C396885}"/>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77"/>
            </w:tblGrid>
            <w:tr w:rsidR="006D44DA" w:rsidRPr="00AE719D" w14:paraId="78290E2B" w14:textId="77777777" w:rsidTr="000115EB">
              <w:trPr>
                <w:trHeight w:val="960"/>
                <w:tblCellSpacing w:w="0" w:type="dxa"/>
              </w:trPr>
              <w:tc>
                <w:tcPr>
                  <w:tcW w:w="1200" w:type="dxa"/>
                  <w:tcBorders>
                    <w:top w:val="nil"/>
                    <w:left w:val="single" w:sz="4" w:space="0" w:color="auto"/>
                    <w:bottom w:val="single" w:sz="4" w:space="0" w:color="auto"/>
                    <w:right w:val="single" w:sz="4" w:space="0" w:color="auto"/>
                  </w:tcBorders>
                  <w:shd w:val="clear" w:color="auto" w:fill="auto"/>
                  <w:tcMar>
                    <w:top w:w="0" w:type="dxa"/>
                    <w:left w:w="135" w:type="dxa"/>
                    <w:bottom w:w="0" w:type="dxa"/>
                    <w:right w:w="0" w:type="dxa"/>
                  </w:tcMar>
                  <w:hideMark/>
                </w:tcPr>
                <w:p w14:paraId="21F96875"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SENA REGIONAL TOLIMA 1</w:t>
                  </w:r>
                </w:p>
              </w:tc>
            </w:tr>
          </w:tbl>
          <w:p w14:paraId="5A117444" w14:textId="77777777" w:rsidR="006D44DA" w:rsidRPr="00AE719D" w:rsidRDefault="006D44DA" w:rsidP="000115EB">
            <w:pPr>
              <w:rPr>
                <w:rFonts w:asciiTheme="majorHAnsi" w:hAnsiTheme="majorHAnsi" w:cstheme="majorHAnsi"/>
                <w:sz w:val="20"/>
                <w:szCs w:val="20"/>
              </w:rPr>
            </w:pPr>
          </w:p>
        </w:tc>
        <w:tc>
          <w:tcPr>
            <w:tcW w:w="1234" w:type="dxa"/>
            <w:hideMark/>
          </w:tcPr>
          <w:p w14:paraId="6AA63D3A"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MC-TLM-CALG-014-2024</w:t>
            </w:r>
          </w:p>
        </w:tc>
        <w:tc>
          <w:tcPr>
            <w:tcW w:w="3540" w:type="dxa"/>
            <w:hideMark/>
          </w:tcPr>
          <w:p w14:paraId="0687C2D3"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Mantenimiento y reparación de equipos laboratorio de biotecnología</w:t>
            </w:r>
          </w:p>
        </w:tc>
        <w:tc>
          <w:tcPr>
            <w:tcW w:w="1269" w:type="dxa"/>
            <w:hideMark/>
          </w:tcPr>
          <w:p w14:paraId="2149C995"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Presentación de oferta</w:t>
            </w:r>
          </w:p>
        </w:tc>
        <w:tc>
          <w:tcPr>
            <w:tcW w:w="1200" w:type="dxa"/>
            <w:hideMark/>
          </w:tcPr>
          <w:p w14:paraId="26C7240F"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16/04/2024 10:58 AM </w:t>
            </w:r>
            <w:r w:rsidRPr="00AE719D">
              <w:rPr>
                <w:rFonts w:asciiTheme="majorHAnsi" w:hAnsiTheme="majorHAnsi" w:cstheme="majorHAnsi"/>
                <w:i/>
                <w:iCs/>
                <w:sz w:val="20"/>
                <w:szCs w:val="20"/>
              </w:rPr>
              <w:t>(UTC -5 horas)</w:t>
            </w:r>
          </w:p>
        </w:tc>
        <w:tc>
          <w:tcPr>
            <w:tcW w:w="1200" w:type="dxa"/>
            <w:hideMark/>
          </w:tcPr>
          <w:p w14:paraId="40BF1F80" w14:textId="77777777" w:rsidR="006D44DA" w:rsidRPr="00AE719D" w:rsidRDefault="006D44DA" w:rsidP="000115EB">
            <w:pPr>
              <w:rPr>
                <w:rFonts w:asciiTheme="majorHAnsi" w:hAnsiTheme="majorHAnsi" w:cstheme="majorHAnsi"/>
                <w:sz w:val="20"/>
                <w:szCs w:val="20"/>
              </w:rPr>
            </w:pPr>
            <w:r w:rsidRPr="00AE719D">
              <w:rPr>
                <w:rFonts w:asciiTheme="majorHAnsi" w:hAnsiTheme="majorHAnsi" w:cstheme="majorHAnsi"/>
                <w:sz w:val="20"/>
                <w:szCs w:val="20"/>
              </w:rPr>
              <w:t>22/04/2024 11:00 AM </w:t>
            </w:r>
            <w:r w:rsidRPr="00AE719D">
              <w:rPr>
                <w:rFonts w:asciiTheme="majorHAnsi" w:hAnsiTheme="majorHAnsi" w:cstheme="majorHAnsi"/>
                <w:i/>
                <w:iCs/>
                <w:sz w:val="20"/>
                <w:szCs w:val="20"/>
              </w:rPr>
              <w:t>(UTC -5 horas)</w:t>
            </w:r>
          </w:p>
        </w:tc>
        <w:tc>
          <w:tcPr>
            <w:tcW w:w="1500" w:type="dxa"/>
            <w:hideMark/>
          </w:tcPr>
          <w:p w14:paraId="7F285959" w14:textId="77777777" w:rsidR="006D44DA" w:rsidRPr="00AE719D" w:rsidRDefault="006D44DA" w:rsidP="000115EB">
            <w:pPr>
              <w:spacing w:line="259" w:lineRule="auto"/>
              <w:rPr>
                <w:rFonts w:asciiTheme="majorHAnsi" w:hAnsiTheme="majorHAnsi" w:cstheme="majorHAnsi"/>
                <w:sz w:val="20"/>
                <w:szCs w:val="20"/>
              </w:rPr>
            </w:pPr>
            <w:r w:rsidRPr="00AE719D">
              <w:rPr>
                <w:rFonts w:asciiTheme="majorHAnsi" w:hAnsiTheme="majorHAnsi" w:cstheme="majorHAnsi"/>
                <w:sz w:val="20"/>
                <w:szCs w:val="20"/>
              </w:rPr>
              <w:t>20.967.518 COP</w:t>
            </w:r>
          </w:p>
        </w:tc>
      </w:tr>
    </w:tbl>
    <w:p w14:paraId="05C24079" w14:textId="77777777" w:rsidR="00871039" w:rsidRDefault="00871039"/>
    <w:p w14:paraId="3DDF0E4B" w14:textId="77777777" w:rsidR="00572AD5" w:rsidRDefault="00572AD5"/>
    <w:p w14:paraId="31342A3D" w14:textId="77777777" w:rsidR="00572AD5" w:rsidRDefault="00000000">
      <w:pPr>
        <w:jc w:val="both"/>
        <w:rPr>
          <w:rFonts w:ascii="Arial" w:eastAsia="Arial" w:hAnsi="Arial" w:cs="Arial"/>
          <w:b/>
          <w:sz w:val="22"/>
          <w:szCs w:val="22"/>
        </w:rPr>
      </w:pPr>
      <w:r>
        <w:rPr>
          <w:rFonts w:ascii="Arial" w:eastAsia="Arial" w:hAnsi="Arial" w:cs="Arial"/>
          <w:b/>
          <w:sz w:val="22"/>
          <w:szCs w:val="22"/>
        </w:rPr>
        <w:t>Análisis Modelo Abastecimiento Estratégico</w:t>
      </w:r>
    </w:p>
    <w:p w14:paraId="39453B94" w14:textId="77777777" w:rsidR="00572AD5" w:rsidRDefault="00572AD5">
      <w:pPr>
        <w:jc w:val="both"/>
        <w:rPr>
          <w:rFonts w:ascii="Arial" w:eastAsia="Arial" w:hAnsi="Arial" w:cs="Arial"/>
          <w:sz w:val="22"/>
          <w:szCs w:val="22"/>
        </w:rPr>
      </w:pPr>
    </w:p>
    <w:p w14:paraId="300B794E" w14:textId="3D9D82BE" w:rsidR="00572AD5" w:rsidRDefault="00000000">
      <w:pPr>
        <w:jc w:val="both"/>
        <w:rPr>
          <w:rFonts w:ascii="Arial" w:eastAsia="Arial" w:hAnsi="Arial" w:cs="Arial"/>
          <w:sz w:val="22"/>
          <w:szCs w:val="22"/>
        </w:rPr>
      </w:pPr>
      <w:r>
        <w:rPr>
          <w:rFonts w:ascii="Arial" w:eastAsia="Arial" w:hAnsi="Arial" w:cs="Arial"/>
          <w:sz w:val="22"/>
          <w:szCs w:val="22"/>
        </w:rPr>
        <w:t xml:space="preserve">De acuerdo con la herramienta de Modelo Abastecimiento Estratégico que dispone la Agencia Nacional de Contratación Pública Colombia Compra Eficiente se realizó la consulta de Análisis de la Demanda con la entidad SENA REGIONAL TOLIMA (Centro Agropecuario La Granja, Centro de Comercio y Servicios y Centro de Industria y la Construcción) con la categoría </w:t>
      </w:r>
      <w:r w:rsidR="00624703">
        <w:rPr>
          <w:rFonts w:ascii="Arial" w:eastAsia="Arial" w:hAnsi="Arial" w:cs="Arial"/>
          <w:sz w:val="22"/>
          <w:szCs w:val="22"/>
        </w:rPr>
        <w:t xml:space="preserve">48 Maquinaria, Equipo y suministros para la Industria y Servicios y 49 </w:t>
      </w:r>
      <w:r>
        <w:rPr>
          <w:rFonts w:ascii="Arial" w:eastAsia="Arial" w:hAnsi="Arial" w:cs="Arial"/>
          <w:sz w:val="22"/>
          <w:szCs w:val="22"/>
        </w:rPr>
        <w:t xml:space="preserve"> </w:t>
      </w:r>
      <w:r w:rsidR="00624703">
        <w:rPr>
          <w:rFonts w:ascii="Arial" w:eastAsia="Arial" w:hAnsi="Arial" w:cs="Arial"/>
          <w:sz w:val="22"/>
          <w:szCs w:val="22"/>
        </w:rPr>
        <w:t>Equipo</w:t>
      </w:r>
      <w:r>
        <w:rPr>
          <w:rFonts w:ascii="Arial" w:eastAsia="Arial" w:hAnsi="Arial" w:cs="Arial"/>
          <w:sz w:val="22"/>
          <w:szCs w:val="22"/>
        </w:rPr>
        <w:t>,</w:t>
      </w:r>
      <w:r w:rsidR="00624703">
        <w:rPr>
          <w:rFonts w:ascii="Arial" w:eastAsia="Arial" w:hAnsi="Arial" w:cs="Arial"/>
          <w:sz w:val="22"/>
          <w:szCs w:val="22"/>
        </w:rPr>
        <w:t xml:space="preserve"> Suministros y Accesorios para Deporte y Recreación,</w:t>
      </w:r>
      <w:r>
        <w:rPr>
          <w:rFonts w:ascii="Arial" w:eastAsia="Arial" w:hAnsi="Arial" w:cs="Arial"/>
          <w:sz w:val="22"/>
          <w:szCs w:val="22"/>
        </w:rPr>
        <w:t xml:space="preserve"> arrojando los siguientes resultados en relación con los contratos celebrados en las vigencias del 2021 al 2024 que se describen en las siguientes gráficas:</w:t>
      </w:r>
    </w:p>
    <w:p w14:paraId="43396553" w14:textId="36AF9DE7" w:rsidR="00572AD5" w:rsidRDefault="00572AD5"/>
    <w:p w14:paraId="0BF0FFA4" w14:textId="77777777" w:rsidR="00572AD5" w:rsidRDefault="00572AD5"/>
    <w:p w14:paraId="378BEBEE" w14:textId="0A498ABA" w:rsidR="00572AD5" w:rsidRDefault="00572AD5"/>
    <w:p w14:paraId="40726972" w14:textId="77777777" w:rsidR="00624703" w:rsidRDefault="00624703"/>
    <w:p w14:paraId="4BCD35AF" w14:textId="77777777" w:rsidR="00624703" w:rsidRDefault="00624703"/>
    <w:p w14:paraId="579C2152" w14:textId="2751B596" w:rsidR="00624703" w:rsidRDefault="00EC57F2">
      <w:r>
        <w:rPr>
          <w:noProof/>
        </w:rPr>
        <w:drawing>
          <wp:inline distT="0" distB="0" distL="0" distR="0" wp14:anchorId="04B00FA4" wp14:editId="2D54658A">
            <wp:extent cx="5671185" cy="3188335"/>
            <wp:effectExtent l="0" t="0" r="5715" b="0"/>
            <wp:docPr id="279401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01746" name=""/>
                    <pic:cNvPicPr/>
                  </pic:nvPicPr>
                  <pic:blipFill>
                    <a:blip r:embed="rId18"/>
                    <a:stretch>
                      <a:fillRect/>
                    </a:stretch>
                  </pic:blipFill>
                  <pic:spPr>
                    <a:xfrm>
                      <a:off x="0" y="0"/>
                      <a:ext cx="5671185" cy="3188335"/>
                    </a:xfrm>
                    <a:prstGeom prst="rect">
                      <a:avLst/>
                    </a:prstGeom>
                  </pic:spPr>
                </pic:pic>
              </a:graphicData>
            </a:graphic>
          </wp:inline>
        </w:drawing>
      </w:r>
    </w:p>
    <w:p w14:paraId="0DE6C987" w14:textId="77777777" w:rsidR="00572AD5" w:rsidRDefault="00572AD5"/>
    <w:p w14:paraId="69CDFF21" w14:textId="0C62512C" w:rsidR="00572AD5" w:rsidRDefault="00EC57F2">
      <w:r>
        <w:rPr>
          <w:noProof/>
        </w:rPr>
        <w:drawing>
          <wp:inline distT="0" distB="0" distL="0" distR="0" wp14:anchorId="32D0BEFB" wp14:editId="249D9EA8">
            <wp:extent cx="5671185" cy="3188335"/>
            <wp:effectExtent l="0" t="0" r="5715" b="0"/>
            <wp:docPr id="1884425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425133" name=""/>
                    <pic:cNvPicPr/>
                  </pic:nvPicPr>
                  <pic:blipFill>
                    <a:blip r:embed="rId19"/>
                    <a:stretch>
                      <a:fillRect/>
                    </a:stretch>
                  </pic:blipFill>
                  <pic:spPr>
                    <a:xfrm>
                      <a:off x="0" y="0"/>
                      <a:ext cx="5671185" cy="3188335"/>
                    </a:xfrm>
                    <a:prstGeom prst="rect">
                      <a:avLst/>
                    </a:prstGeom>
                  </pic:spPr>
                </pic:pic>
              </a:graphicData>
            </a:graphic>
          </wp:inline>
        </w:drawing>
      </w:r>
    </w:p>
    <w:p w14:paraId="1727D3CA" w14:textId="77777777" w:rsidR="00EC57F2" w:rsidRDefault="00EC57F2"/>
    <w:p w14:paraId="5D1B674A" w14:textId="3162A7A2" w:rsidR="00EC57F2" w:rsidRDefault="00EC57F2">
      <w:r>
        <w:rPr>
          <w:noProof/>
        </w:rPr>
        <w:lastRenderedPageBreak/>
        <w:drawing>
          <wp:inline distT="0" distB="0" distL="0" distR="0" wp14:anchorId="30C5C5D9" wp14:editId="7FDEF985">
            <wp:extent cx="5671185" cy="3188335"/>
            <wp:effectExtent l="0" t="0" r="5715" b="0"/>
            <wp:docPr id="1851189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189845" name=""/>
                    <pic:cNvPicPr/>
                  </pic:nvPicPr>
                  <pic:blipFill>
                    <a:blip r:embed="rId20"/>
                    <a:stretch>
                      <a:fillRect/>
                    </a:stretch>
                  </pic:blipFill>
                  <pic:spPr>
                    <a:xfrm>
                      <a:off x="0" y="0"/>
                      <a:ext cx="5671185" cy="3188335"/>
                    </a:xfrm>
                    <a:prstGeom prst="rect">
                      <a:avLst/>
                    </a:prstGeom>
                  </pic:spPr>
                </pic:pic>
              </a:graphicData>
            </a:graphic>
          </wp:inline>
        </w:drawing>
      </w:r>
    </w:p>
    <w:p w14:paraId="1EC192F2" w14:textId="77777777" w:rsidR="00572AD5" w:rsidRDefault="00572AD5"/>
    <w:p w14:paraId="032F0E5B" w14:textId="77777777" w:rsidR="00572AD5" w:rsidRDefault="00000000" w:rsidP="002C6D1E">
      <w:pPr>
        <w:numPr>
          <w:ilvl w:val="1"/>
          <w:numId w:val="27"/>
        </w:numPr>
        <w:pBdr>
          <w:top w:val="nil"/>
          <w:left w:val="nil"/>
          <w:bottom w:val="nil"/>
          <w:right w:val="nil"/>
          <w:between w:val="nil"/>
        </w:pBdr>
        <w:spacing w:after="200" w:line="276" w:lineRule="auto"/>
        <w:ind w:right="74"/>
        <w:jc w:val="both"/>
        <w:rPr>
          <w:rFonts w:ascii="Arial" w:eastAsia="Arial" w:hAnsi="Arial" w:cs="Arial"/>
          <w:color w:val="000000"/>
          <w:sz w:val="22"/>
          <w:szCs w:val="22"/>
        </w:rPr>
      </w:pPr>
      <w:r>
        <w:rPr>
          <w:rFonts w:ascii="Arial" w:eastAsia="Arial" w:hAnsi="Arial" w:cs="Arial"/>
          <w:b/>
          <w:color w:val="000000"/>
          <w:sz w:val="22"/>
          <w:szCs w:val="22"/>
        </w:rPr>
        <w:t>DE LA OFERTA:</w:t>
      </w:r>
    </w:p>
    <w:p w14:paraId="3F4674A1"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 partir del estudio de mercado por medio de la cual se pretender estudiar el mercado del Departamento de Tolima y a nivel nacional, en el cual se analiza la fase inicial de conducta comercial o de servicios, en donde la sección de planeación del SENA, solicita diferentes cotizaciones a entidades que presten los servicios requeridos y estén legalmente constituidas, se determina que en el mercado existen entidades con la capacidad de proveer el objeto actual, bajo todos los requisitos técnicos, plazos de ejecución y formas de pago que se establecen en el presente proceso de selección.</w:t>
      </w:r>
    </w:p>
    <w:p w14:paraId="0CF5077B"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F2CACA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Lo anterior, no significa que solo se deben presentar estas entidades, cualquier entidad que se encuentre en la capacidad de prestar los servicios requeridos, puede participar en el presente proceso de selección.</w:t>
      </w:r>
    </w:p>
    <w:p w14:paraId="5FE7B078"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669E1D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 general todas las empresas compiten para satisfacer las necesidades de sus clientes en diversas actividades que desarrollan, con talento humano calificado, responsable, comprometido con la calidad y procurando la satisfacción del cliente, son partícipes esenciales de la compra y la contratación pública.</w:t>
      </w:r>
    </w:p>
    <w:p w14:paraId="370973FC"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00B3489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Así mismo, por las consultas realizadas se evidencia que no es un mercado cerrado y que entidades de diferentes regiones del país pueden participar del requerimiento de la entidad, con precios competitivos, por lo cual se minimiza el riesgo de oferta para la entidad, constituyendo un mercado flexible y de fácil consecución.</w:t>
      </w:r>
    </w:p>
    <w:p w14:paraId="78F48B9D" w14:textId="77777777" w:rsidR="00572AD5" w:rsidRDefault="00572AD5">
      <w:pPr>
        <w:pBdr>
          <w:top w:val="nil"/>
          <w:left w:val="nil"/>
          <w:bottom w:val="nil"/>
          <w:right w:val="nil"/>
          <w:between w:val="nil"/>
        </w:pBdr>
        <w:rPr>
          <w:rFonts w:ascii="Arial" w:eastAsia="Arial" w:hAnsi="Arial" w:cs="Arial"/>
          <w:b/>
          <w:color w:val="000000"/>
        </w:rPr>
      </w:pPr>
    </w:p>
    <w:p w14:paraId="589D002B" w14:textId="77777777" w:rsidR="00572AD5" w:rsidRDefault="00572AD5">
      <w:pPr>
        <w:pBdr>
          <w:top w:val="nil"/>
          <w:left w:val="nil"/>
          <w:bottom w:val="nil"/>
          <w:right w:val="nil"/>
          <w:between w:val="nil"/>
        </w:pBdr>
        <w:spacing w:after="120"/>
        <w:rPr>
          <w:rFonts w:ascii="Arial" w:eastAsia="Arial" w:hAnsi="Arial" w:cs="Arial"/>
          <w:b/>
          <w:color w:val="000000"/>
        </w:rPr>
      </w:pPr>
    </w:p>
    <w:p w14:paraId="1A1C59D9" w14:textId="77777777" w:rsidR="00572AD5" w:rsidRDefault="00572AD5">
      <w:pPr>
        <w:pBdr>
          <w:top w:val="nil"/>
          <w:left w:val="nil"/>
          <w:bottom w:val="nil"/>
          <w:right w:val="nil"/>
          <w:between w:val="nil"/>
        </w:pBdr>
        <w:spacing w:after="120"/>
        <w:rPr>
          <w:rFonts w:ascii="Arial" w:eastAsia="Arial" w:hAnsi="Arial" w:cs="Arial"/>
          <w:b/>
          <w:color w:val="000000"/>
        </w:rPr>
      </w:pPr>
    </w:p>
    <w:p w14:paraId="4CAFA6B5" w14:textId="77777777" w:rsidR="00572AD5" w:rsidRDefault="00000000">
      <w:pPr>
        <w:pBdr>
          <w:top w:val="nil"/>
          <w:left w:val="nil"/>
          <w:bottom w:val="nil"/>
          <w:right w:val="nil"/>
          <w:between w:val="nil"/>
        </w:pBdr>
        <w:spacing w:after="120"/>
        <w:rPr>
          <w:rFonts w:ascii="Arial" w:eastAsia="Arial" w:hAnsi="Arial" w:cs="Arial"/>
          <w:b/>
          <w:color w:val="000000"/>
        </w:rPr>
      </w:pPr>
      <w:r>
        <w:rPr>
          <w:rFonts w:ascii="Arial" w:eastAsia="Arial" w:hAnsi="Arial" w:cs="Arial"/>
          <w:b/>
          <w:color w:val="000000"/>
        </w:rPr>
        <w:lastRenderedPageBreak/>
        <w:t>Creación de empresas en Colombia</w:t>
      </w:r>
    </w:p>
    <w:p w14:paraId="099B5589"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Según datos del DANE, la economía colombiana registró un crecimiento del 2% al cierre del tercer trimestre de 2024, impulsado principalmente por un aumento significativo en la inversión, que creció un 22,7%, y un incremento del 1,6% en el consumo de los hogares. En el ámbito laboral, se observaron señales de recuperación, con una tasa de desempleo nacional que alcanzó el 8,2%, marcando una mejora respecto al 9,0% registrado en el mismo periodo del año anterior.</w:t>
      </w:r>
    </w:p>
    <w:p w14:paraId="272D0BD6"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Según el Banco de la Republica en términos de precios, la inflación anual se redujo al 5,2%, la más baja de los últimos cuatro años, aunque todavía se encuentra por encima de la meta del 3% fijada por el ente emisor. Ante esta desaceleración inflacionaria, el Banco redujo la tasa de interés de política monetaria a 9,5% al cierre de 2024, buscando estimular la actividad económica y acercar la inflación a su objetivo.</w:t>
      </w:r>
    </w:p>
    <w:p w14:paraId="062BEAE3"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En este contexto, la Confederación Colombiana de Cámaras de Comercio (Confecámaras) presenta el informe de dinámica de creación de empresas para el 2024. De acuerdo con los registros del RUES de las cámaras de comercio del país, en 2024 se crearon 297.475 nuevas empresas, un 2,8% menos que en 2023 cuando se establecieron 305.997 compañías. Del total de nuevas empresas, el 72,3% fueron creadas por personas naturales y el 27,7%, por sociedades. En comparación con 2023, las matrículas de nuevas de sociedades aumentaron un 5,2%, mientras que las de personas naturales cayeron un 5,5%.</w:t>
      </w:r>
    </w:p>
    <w:p w14:paraId="5DDEA748"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Este resultado refleja un panorama alentador para el tejido empresarial colombiano, evidenciando la fortaleza y el dinamismo de las empresas como motor del desarrollo económico del país. Estudios de Confecámaras han encontrado que las sociedades en Colombia tienen una tasa de supervivencia del 44% a los cinco años, mientras que las personas naturales solo alcanzan el 30%. Esto revela la mayor capacidad de las empresas que se constituyen como sociedades para enfrentar obstáculos y perdurar en el tiempo. Asimismo, las sociedades también presentan una tasa de movilidad del 18%, considerablemente superior al 0,7% de las personas naturales, lo que destaca su mayor potencial para crecer, diversificarse y contribuir al desarrollo económico del país.</w:t>
      </w:r>
    </w:p>
    <w:p w14:paraId="41C4646D" w14:textId="77777777" w:rsidR="00572AD5" w:rsidRDefault="00000000">
      <w:pPr>
        <w:pBdr>
          <w:top w:val="nil"/>
          <w:left w:val="nil"/>
          <w:bottom w:val="nil"/>
          <w:right w:val="nil"/>
          <w:between w:val="nil"/>
        </w:pBdr>
        <w:rPr>
          <w:rFonts w:ascii="Arial" w:eastAsia="Arial" w:hAnsi="Arial" w:cs="Arial"/>
          <w:b/>
          <w:color w:val="000000"/>
        </w:rPr>
      </w:pPr>
      <w:r>
        <w:rPr>
          <w:noProof/>
        </w:rPr>
        <w:drawing>
          <wp:anchor distT="0" distB="0" distL="114300" distR="114300" simplePos="0" relativeHeight="251664384" behindDoc="0" locked="0" layoutInCell="1" hidden="0" allowOverlap="1" wp14:anchorId="465C4B7F" wp14:editId="5DC91702">
            <wp:simplePos x="0" y="0"/>
            <wp:positionH relativeFrom="column">
              <wp:posOffset>600075</wp:posOffset>
            </wp:positionH>
            <wp:positionV relativeFrom="paragraph">
              <wp:posOffset>5080</wp:posOffset>
            </wp:positionV>
            <wp:extent cx="3715385" cy="211963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l="15989" t="24690" r="15434" b="5725"/>
                    <a:stretch>
                      <a:fillRect/>
                    </a:stretch>
                  </pic:blipFill>
                  <pic:spPr>
                    <a:xfrm>
                      <a:off x="0" y="0"/>
                      <a:ext cx="3715385" cy="2119630"/>
                    </a:xfrm>
                    <a:prstGeom prst="rect">
                      <a:avLst/>
                    </a:prstGeom>
                    <a:ln/>
                  </pic:spPr>
                </pic:pic>
              </a:graphicData>
            </a:graphic>
          </wp:anchor>
        </w:drawing>
      </w:r>
    </w:p>
    <w:p w14:paraId="264D7953" w14:textId="77777777" w:rsidR="00572AD5" w:rsidRDefault="00572AD5">
      <w:pPr>
        <w:pBdr>
          <w:top w:val="nil"/>
          <w:left w:val="nil"/>
          <w:bottom w:val="nil"/>
          <w:right w:val="nil"/>
          <w:between w:val="nil"/>
        </w:pBdr>
        <w:rPr>
          <w:color w:val="000000"/>
          <w:highlight w:val="green"/>
        </w:rPr>
      </w:pPr>
    </w:p>
    <w:p w14:paraId="053422D2" w14:textId="77777777" w:rsidR="00572AD5" w:rsidRDefault="00572AD5">
      <w:pPr>
        <w:pBdr>
          <w:top w:val="nil"/>
          <w:left w:val="nil"/>
          <w:bottom w:val="nil"/>
          <w:right w:val="nil"/>
          <w:between w:val="nil"/>
        </w:pBdr>
        <w:rPr>
          <w:rFonts w:ascii="Arial" w:eastAsia="Arial" w:hAnsi="Arial" w:cs="Arial"/>
          <w:b/>
          <w:color w:val="000000"/>
          <w:highlight w:val="green"/>
        </w:rPr>
      </w:pPr>
    </w:p>
    <w:p w14:paraId="3C289893" w14:textId="77777777" w:rsidR="00572AD5" w:rsidRDefault="00572AD5">
      <w:pPr>
        <w:pBdr>
          <w:top w:val="nil"/>
          <w:left w:val="nil"/>
          <w:bottom w:val="nil"/>
          <w:right w:val="nil"/>
          <w:between w:val="nil"/>
        </w:pBdr>
        <w:rPr>
          <w:rFonts w:ascii="Arial" w:eastAsia="Arial" w:hAnsi="Arial" w:cs="Arial"/>
          <w:b/>
          <w:color w:val="000000"/>
          <w:highlight w:val="green"/>
        </w:rPr>
      </w:pPr>
    </w:p>
    <w:p w14:paraId="7C720169" w14:textId="77777777" w:rsidR="00572AD5" w:rsidRDefault="00572AD5">
      <w:pPr>
        <w:pBdr>
          <w:top w:val="nil"/>
          <w:left w:val="nil"/>
          <w:bottom w:val="nil"/>
          <w:right w:val="nil"/>
          <w:between w:val="nil"/>
        </w:pBdr>
        <w:rPr>
          <w:rFonts w:ascii="Arial" w:eastAsia="Arial" w:hAnsi="Arial" w:cs="Arial"/>
          <w:b/>
          <w:color w:val="000000"/>
          <w:highlight w:val="green"/>
        </w:rPr>
      </w:pPr>
    </w:p>
    <w:p w14:paraId="3CAD1A52" w14:textId="77777777" w:rsidR="00572AD5" w:rsidRDefault="00572AD5">
      <w:pPr>
        <w:pBdr>
          <w:top w:val="nil"/>
          <w:left w:val="nil"/>
          <w:bottom w:val="nil"/>
          <w:right w:val="nil"/>
          <w:between w:val="nil"/>
        </w:pBdr>
        <w:rPr>
          <w:rFonts w:ascii="Arial" w:eastAsia="Arial" w:hAnsi="Arial" w:cs="Arial"/>
          <w:b/>
          <w:color w:val="000000"/>
          <w:highlight w:val="green"/>
        </w:rPr>
      </w:pPr>
    </w:p>
    <w:p w14:paraId="57D79B52" w14:textId="77777777" w:rsidR="00572AD5" w:rsidRDefault="00572AD5">
      <w:pPr>
        <w:pBdr>
          <w:top w:val="nil"/>
          <w:left w:val="nil"/>
          <w:bottom w:val="nil"/>
          <w:right w:val="nil"/>
          <w:between w:val="nil"/>
        </w:pBdr>
        <w:rPr>
          <w:rFonts w:ascii="Arial" w:eastAsia="Arial" w:hAnsi="Arial" w:cs="Arial"/>
          <w:b/>
          <w:color w:val="000000"/>
          <w:highlight w:val="green"/>
        </w:rPr>
      </w:pPr>
    </w:p>
    <w:p w14:paraId="056E8956" w14:textId="77777777" w:rsidR="00572AD5" w:rsidRDefault="00572AD5">
      <w:pPr>
        <w:pBdr>
          <w:top w:val="nil"/>
          <w:left w:val="nil"/>
          <w:bottom w:val="nil"/>
          <w:right w:val="nil"/>
          <w:between w:val="nil"/>
        </w:pBdr>
        <w:rPr>
          <w:rFonts w:ascii="Arial" w:eastAsia="Arial" w:hAnsi="Arial" w:cs="Arial"/>
          <w:b/>
          <w:color w:val="000000"/>
          <w:highlight w:val="green"/>
        </w:rPr>
      </w:pPr>
    </w:p>
    <w:p w14:paraId="7C9754F9" w14:textId="77777777" w:rsidR="00572AD5" w:rsidRDefault="00572AD5">
      <w:pPr>
        <w:pBdr>
          <w:top w:val="nil"/>
          <w:left w:val="nil"/>
          <w:bottom w:val="nil"/>
          <w:right w:val="nil"/>
          <w:between w:val="nil"/>
        </w:pBdr>
        <w:rPr>
          <w:rFonts w:ascii="Arial" w:eastAsia="Arial" w:hAnsi="Arial" w:cs="Arial"/>
          <w:b/>
          <w:color w:val="000000"/>
          <w:highlight w:val="green"/>
        </w:rPr>
      </w:pPr>
    </w:p>
    <w:p w14:paraId="54A3BF27" w14:textId="77777777" w:rsidR="00572AD5" w:rsidRDefault="00572AD5">
      <w:pPr>
        <w:pBdr>
          <w:top w:val="nil"/>
          <w:left w:val="nil"/>
          <w:bottom w:val="nil"/>
          <w:right w:val="nil"/>
          <w:between w:val="nil"/>
        </w:pBdr>
        <w:rPr>
          <w:rFonts w:ascii="Arial" w:eastAsia="Arial" w:hAnsi="Arial" w:cs="Arial"/>
          <w:b/>
          <w:color w:val="000000"/>
          <w:highlight w:val="green"/>
        </w:rPr>
      </w:pPr>
    </w:p>
    <w:p w14:paraId="28E92E2F" w14:textId="77777777" w:rsidR="00572AD5" w:rsidRDefault="00572AD5">
      <w:pPr>
        <w:pBdr>
          <w:top w:val="nil"/>
          <w:left w:val="nil"/>
          <w:bottom w:val="nil"/>
          <w:right w:val="nil"/>
          <w:between w:val="nil"/>
        </w:pBdr>
        <w:rPr>
          <w:rFonts w:ascii="Arial" w:eastAsia="Arial" w:hAnsi="Arial" w:cs="Arial"/>
          <w:b/>
          <w:color w:val="000000"/>
          <w:highlight w:val="green"/>
        </w:rPr>
      </w:pPr>
    </w:p>
    <w:p w14:paraId="149D93F3" w14:textId="77777777" w:rsidR="00572AD5" w:rsidRDefault="00572AD5">
      <w:pPr>
        <w:pBdr>
          <w:top w:val="nil"/>
          <w:left w:val="nil"/>
          <w:bottom w:val="nil"/>
          <w:right w:val="nil"/>
          <w:between w:val="nil"/>
        </w:pBdr>
        <w:rPr>
          <w:rFonts w:ascii="Arial" w:eastAsia="Arial" w:hAnsi="Arial" w:cs="Arial"/>
          <w:b/>
          <w:color w:val="000000"/>
          <w:highlight w:val="green"/>
        </w:rPr>
      </w:pPr>
    </w:p>
    <w:p w14:paraId="7C4180B4" w14:textId="77777777" w:rsidR="00572AD5" w:rsidRDefault="00572AD5">
      <w:pPr>
        <w:pBdr>
          <w:top w:val="nil"/>
          <w:left w:val="nil"/>
          <w:bottom w:val="nil"/>
          <w:right w:val="nil"/>
          <w:between w:val="nil"/>
        </w:pBdr>
        <w:rPr>
          <w:rFonts w:ascii="Arial" w:eastAsia="Arial" w:hAnsi="Arial" w:cs="Arial"/>
          <w:b/>
          <w:color w:val="000000"/>
          <w:highlight w:val="green"/>
        </w:rPr>
      </w:pPr>
    </w:p>
    <w:p w14:paraId="77F378C4" w14:textId="77777777" w:rsidR="00572AD5" w:rsidRDefault="00000000">
      <w:pPr>
        <w:pBdr>
          <w:top w:val="nil"/>
          <w:left w:val="nil"/>
          <w:bottom w:val="nil"/>
          <w:right w:val="nil"/>
          <w:between w:val="nil"/>
        </w:pBdr>
        <w:spacing w:after="120"/>
        <w:rPr>
          <w:rFonts w:ascii="Arial" w:eastAsia="Arial" w:hAnsi="Arial" w:cs="Arial"/>
          <w:b/>
          <w:color w:val="000000"/>
          <w:sz w:val="22"/>
          <w:szCs w:val="22"/>
        </w:rPr>
      </w:pPr>
      <w:r>
        <w:rPr>
          <w:rFonts w:ascii="Arial" w:eastAsia="Arial" w:hAnsi="Arial" w:cs="Arial"/>
          <w:b/>
          <w:color w:val="000000"/>
          <w:sz w:val="22"/>
          <w:szCs w:val="22"/>
        </w:rPr>
        <w:t>Creación de empresas por tamaño</w:t>
      </w:r>
    </w:p>
    <w:p w14:paraId="526CEF50"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Al analizar la evolución de la creación de empresas entre 2023 y 2024, clasificada según el tamaño definido por el valor de sus activos, se observa una disminución del 2,8% en la </w:t>
      </w:r>
      <w:r>
        <w:rPr>
          <w:rFonts w:ascii="Arial" w:eastAsia="Arial" w:hAnsi="Arial" w:cs="Arial"/>
          <w:color w:val="000000"/>
          <w:sz w:val="22"/>
          <w:szCs w:val="22"/>
        </w:rPr>
        <w:lastRenderedPageBreak/>
        <w:t>creación de microempresas, del 8,0% en pequeñas, del 20,4% en medianas y del 9,1% en grandes. La reducción total del 2,8% está explicada en su totalidad por las microempresas, dado que las pequeñas, medianas y grandes tienen una participación marginal en el total de empresas creadas. La significativa concentración de las microempresas, que representan más del 99% del total, destaca su papel crucial en la dinámica empresarial del país.</w:t>
      </w:r>
    </w:p>
    <w:p w14:paraId="3825B07F" w14:textId="77777777" w:rsidR="00572AD5" w:rsidRDefault="00572AD5">
      <w:pPr>
        <w:pBdr>
          <w:top w:val="nil"/>
          <w:left w:val="nil"/>
          <w:bottom w:val="nil"/>
          <w:right w:val="nil"/>
          <w:between w:val="nil"/>
        </w:pBdr>
        <w:rPr>
          <w:rFonts w:ascii="Arial" w:eastAsia="Arial" w:hAnsi="Arial" w:cs="Arial"/>
          <w:b/>
          <w:color w:val="000000"/>
        </w:rPr>
      </w:pPr>
    </w:p>
    <w:p w14:paraId="18F0C936" w14:textId="77777777" w:rsidR="00572AD5" w:rsidRDefault="00572AD5">
      <w:pPr>
        <w:pBdr>
          <w:top w:val="nil"/>
          <w:left w:val="nil"/>
          <w:bottom w:val="nil"/>
          <w:right w:val="nil"/>
          <w:between w:val="nil"/>
        </w:pBdr>
        <w:rPr>
          <w:color w:val="000000"/>
          <w:highlight w:val="green"/>
        </w:rPr>
      </w:pPr>
    </w:p>
    <w:p w14:paraId="6863E49F" w14:textId="77777777" w:rsidR="00572AD5" w:rsidRDefault="00000000">
      <w:pPr>
        <w:pBdr>
          <w:top w:val="nil"/>
          <w:left w:val="nil"/>
          <w:bottom w:val="nil"/>
          <w:right w:val="nil"/>
          <w:between w:val="nil"/>
        </w:pBdr>
        <w:rPr>
          <w:rFonts w:ascii="Arial" w:eastAsia="Arial" w:hAnsi="Arial" w:cs="Arial"/>
          <w:b/>
          <w:color w:val="000000"/>
          <w:highlight w:val="green"/>
        </w:rPr>
      </w:pPr>
      <w:r>
        <w:rPr>
          <w:noProof/>
          <w:color w:val="000000"/>
          <w:highlight w:val="green"/>
        </w:rPr>
        <w:drawing>
          <wp:inline distT="0" distB="0" distL="0" distR="0" wp14:anchorId="068499B2" wp14:editId="2808FFB5">
            <wp:extent cx="4482141" cy="1500686"/>
            <wp:effectExtent l="0" t="0" r="0" b="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2"/>
                    <a:srcRect l="14448" t="37159" r="26503" b="27673"/>
                    <a:stretch>
                      <a:fillRect/>
                    </a:stretch>
                  </pic:blipFill>
                  <pic:spPr>
                    <a:xfrm>
                      <a:off x="0" y="0"/>
                      <a:ext cx="4482141" cy="1500686"/>
                    </a:xfrm>
                    <a:prstGeom prst="rect">
                      <a:avLst/>
                    </a:prstGeom>
                    <a:ln/>
                  </pic:spPr>
                </pic:pic>
              </a:graphicData>
            </a:graphic>
          </wp:inline>
        </w:drawing>
      </w:r>
    </w:p>
    <w:p w14:paraId="5B4696F4" w14:textId="77777777" w:rsidR="00572AD5" w:rsidRDefault="00572AD5">
      <w:pPr>
        <w:pBdr>
          <w:top w:val="nil"/>
          <w:left w:val="nil"/>
          <w:bottom w:val="nil"/>
          <w:right w:val="nil"/>
          <w:between w:val="nil"/>
        </w:pBdr>
        <w:rPr>
          <w:rFonts w:ascii="Arial" w:eastAsia="Arial" w:hAnsi="Arial" w:cs="Arial"/>
          <w:b/>
          <w:color w:val="000000"/>
          <w:highlight w:val="green"/>
        </w:rPr>
      </w:pPr>
    </w:p>
    <w:p w14:paraId="3E19FDC2" w14:textId="77777777" w:rsidR="00572AD5" w:rsidRDefault="00000000">
      <w:pPr>
        <w:pBdr>
          <w:top w:val="nil"/>
          <w:left w:val="nil"/>
          <w:bottom w:val="nil"/>
          <w:right w:val="nil"/>
          <w:between w:val="nil"/>
        </w:pBdr>
        <w:spacing w:after="120"/>
        <w:rPr>
          <w:rFonts w:ascii="Arial" w:eastAsia="Arial" w:hAnsi="Arial" w:cs="Arial"/>
          <w:b/>
          <w:color w:val="000000"/>
          <w:sz w:val="22"/>
          <w:szCs w:val="22"/>
        </w:rPr>
      </w:pPr>
      <w:r>
        <w:rPr>
          <w:rFonts w:ascii="Arial" w:eastAsia="Arial" w:hAnsi="Arial" w:cs="Arial"/>
          <w:b/>
          <w:color w:val="000000"/>
          <w:sz w:val="22"/>
          <w:szCs w:val="22"/>
        </w:rPr>
        <w:t>Creación de empresas por organización jurídica</w:t>
      </w:r>
    </w:p>
    <w:p w14:paraId="0628E3A1"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En 2024, se constituyeron 82.522 empresas como sociedades, lo que representa un incremento del 5,2% frente a las 78.428 creadas en 2023. De estas, 81.671 correspondieron a microempresas, 814 a pequeñas, 29 a medianas y 8 a grandes. El crecimiento estuvo liderado por las microempresas, cuya creación aumentó un 5,4%. Este resultado reafirma su papel predominante en la estructura empresarial del país. En contraste, las pequeñas y medianas empresas, aunque representan una proporción menor, registraron caídas del 7,8% y 14,7%, respectivamente, en la creación de nuevas sociedades.</w:t>
      </w:r>
    </w:p>
    <w:p w14:paraId="69B15D65" w14:textId="77777777" w:rsidR="00572AD5" w:rsidRDefault="00572AD5">
      <w:pPr>
        <w:pBdr>
          <w:top w:val="nil"/>
          <w:left w:val="nil"/>
          <w:bottom w:val="nil"/>
          <w:right w:val="nil"/>
          <w:between w:val="nil"/>
        </w:pBdr>
        <w:rPr>
          <w:rFonts w:ascii="Arial" w:eastAsia="Arial" w:hAnsi="Arial" w:cs="Arial"/>
          <w:color w:val="000000"/>
          <w:sz w:val="22"/>
          <w:szCs w:val="22"/>
        </w:rPr>
      </w:pPr>
    </w:p>
    <w:p w14:paraId="5458D796" w14:textId="77777777" w:rsidR="00572AD5" w:rsidRDefault="00572AD5">
      <w:pPr>
        <w:pBdr>
          <w:top w:val="nil"/>
          <w:left w:val="nil"/>
          <w:bottom w:val="nil"/>
          <w:right w:val="nil"/>
          <w:between w:val="nil"/>
        </w:pBdr>
        <w:rPr>
          <w:color w:val="000000"/>
          <w:highlight w:val="green"/>
        </w:rPr>
      </w:pPr>
    </w:p>
    <w:p w14:paraId="6F5384E8" w14:textId="77777777" w:rsidR="00572AD5" w:rsidRDefault="00000000">
      <w:pPr>
        <w:pBdr>
          <w:top w:val="nil"/>
          <w:left w:val="nil"/>
          <w:bottom w:val="nil"/>
          <w:right w:val="nil"/>
          <w:between w:val="nil"/>
        </w:pBdr>
        <w:rPr>
          <w:rFonts w:ascii="Arial" w:eastAsia="Arial" w:hAnsi="Arial" w:cs="Arial"/>
          <w:color w:val="000000"/>
          <w:sz w:val="22"/>
          <w:szCs w:val="22"/>
          <w:highlight w:val="green"/>
        </w:rPr>
      </w:pPr>
      <w:r>
        <w:rPr>
          <w:noProof/>
          <w:color w:val="000000"/>
          <w:highlight w:val="green"/>
        </w:rPr>
        <w:drawing>
          <wp:inline distT="0" distB="0" distL="0" distR="0" wp14:anchorId="7C468583" wp14:editId="387CECB9">
            <wp:extent cx="4375832" cy="1490853"/>
            <wp:effectExtent l="0" t="0" r="0" b="0"/>
            <wp:docPr id="4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3"/>
                    <a:srcRect l="14868" t="26934" r="28742" b="38894"/>
                    <a:stretch>
                      <a:fillRect/>
                    </a:stretch>
                  </pic:blipFill>
                  <pic:spPr>
                    <a:xfrm>
                      <a:off x="0" y="0"/>
                      <a:ext cx="4375832" cy="1490853"/>
                    </a:xfrm>
                    <a:prstGeom prst="rect">
                      <a:avLst/>
                    </a:prstGeom>
                    <a:ln/>
                  </pic:spPr>
                </pic:pic>
              </a:graphicData>
            </a:graphic>
          </wp:inline>
        </w:drawing>
      </w:r>
    </w:p>
    <w:p w14:paraId="721EBC4D" w14:textId="77777777" w:rsidR="00572AD5" w:rsidRDefault="00572AD5">
      <w:pPr>
        <w:pBdr>
          <w:top w:val="nil"/>
          <w:left w:val="nil"/>
          <w:bottom w:val="nil"/>
          <w:right w:val="nil"/>
          <w:between w:val="nil"/>
        </w:pBdr>
        <w:rPr>
          <w:rFonts w:ascii="Arial" w:eastAsia="Arial" w:hAnsi="Arial" w:cs="Arial"/>
          <w:color w:val="000000"/>
          <w:highlight w:val="green"/>
        </w:rPr>
      </w:pPr>
    </w:p>
    <w:p w14:paraId="202AD846"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Por otro lado, en el 2024 se crearon 214.953 empresas constituidas como personas naturales, lo que representa una disminución del 5,5% en comparación con las 227.569 creadas en el 2023. De las empresas constituidas como personas naturales en 2024, 214.7522 corresponden a microempresas, 152 pequeñas, 14 medianas y 2 grandes.</w:t>
      </w:r>
    </w:p>
    <w:p w14:paraId="26B7CA7A"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highlight w:val="green"/>
        </w:rPr>
      </w:pPr>
      <w:r>
        <w:rPr>
          <w:noProof/>
          <w:color w:val="000000"/>
          <w:highlight w:val="green"/>
        </w:rPr>
        <w:lastRenderedPageBreak/>
        <w:drawing>
          <wp:inline distT="0" distB="0" distL="0" distR="0" wp14:anchorId="2B92520B" wp14:editId="27624BDC">
            <wp:extent cx="4359750" cy="1481160"/>
            <wp:effectExtent l="0" t="0" r="0" b="0"/>
            <wp:docPr id="4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4"/>
                    <a:srcRect l="15151" t="34914" r="27468" b="30410"/>
                    <a:stretch>
                      <a:fillRect/>
                    </a:stretch>
                  </pic:blipFill>
                  <pic:spPr>
                    <a:xfrm>
                      <a:off x="0" y="0"/>
                      <a:ext cx="4359750" cy="1481160"/>
                    </a:xfrm>
                    <a:prstGeom prst="rect">
                      <a:avLst/>
                    </a:prstGeom>
                    <a:ln/>
                  </pic:spPr>
                </pic:pic>
              </a:graphicData>
            </a:graphic>
          </wp:inline>
        </w:drawing>
      </w:r>
    </w:p>
    <w:p w14:paraId="73DF6403" w14:textId="77777777" w:rsidR="00572AD5" w:rsidRDefault="00572AD5">
      <w:pPr>
        <w:pBdr>
          <w:top w:val="nil"/>
          <w:left w:val="nil"/>
          <w:bottom w:val="nil"/>
          <w:right w:val="nil"/>
          <w:between w:val="nil"/>
        </w:pBdr>
        <w:spacing w:after="120"/>
        <w:jc w:val="both"/>
        <w:rPr>
          <w:rFonts w:ascii="Arial" w:eastAsia="Arial" w:hAnsi="Arial" w:cs="Arial"/>
          <w:color w:val="000000"/>
          <w:sz w:val="22"/>
          <w:szCs w:val="22"/>
          <w:highlight w:val="green"/>
        </w:rPr>
      </w:pPr>
    </w:p>
    <w:p w14:paraId="5C0CC20C" w14:textId="77777777" w:rsidR="00572AD5" w:rsidRDefault="00000000">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Creación de empresas por sectores económicos</w:t>
      </w:r>
    </w:p>
    <w:p w14:paraId="707D230B" w14:textId="77777777" w:rsidR="00572AD5" w:rsidRDefault="00000000">
      <w:pPr>
        <w:pBdr>
          <w:top w:val="nil"/>
          <w:left w:val="nil"/>
          <w:bottom w:val="nil"/>
          <w:right w:val="nil"/>
          <w:between w:val="nil"/>
        </w:pBdr>
        <w:spacing w:after="120"/>
        <w:jc w:val="both"/>
        <w:rPr>
          <w:color w:val="000000"/>
        </w:rPr>
      </w:pPr>
      <w:r>
        <w:rPr>
          <w:rFonts w:ascii="Arial" w:eastAsia="Arial" w:hAnsi="Arial" w:cs="Arial"/>
          <w:color w:val="000000"/>
          <w:sz w:val="22"/>
          <w:szCs w:val="22"/>
        </w:rPr>
        <w:t>Durante 2024, el sector de agricultura registró un aumento en la creación de empresas de 1,4%. Sin embargo, su impacto en la variación total fue limitado y cercano a 0%. Por otro lado, el sector de extracción registró la mayor contracción porcentual, con una caída del 17,5%. No obstante, debido a su reducido tamaño relativo, su impacto en el total fue limitado (-0,1%). En contraste, los servicios que representan el mayor peso relativo en la creación de empresas experimentaron una contracción del 1,5%, contribuyendo negativamente con un -0,7% a la variación total. Finalmente, el sector comercio tuvo la mayor contribución negativa en la creación de empresas con una caída de 4,8% respecto a 2023.</w:t>
      </w:r>
    </w:p>
    <w:p w14:paraId="0BB6514A"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highlight w:val="green"/>
        </w:rPr>
      </w:pPr>
      <w:r>
        <w:rPr>
          <w:noProof/>
          <w:color w:val="000000"/>
          <w:highlight w:val="green"/>
        </w:rPr>
        <w:drawing>
          <wp:inline distT="0" distB="0" distL="0" distR="0" wp14:anchorId="010504ED" wp14:editId="389AAEF2">
            <wp:extent cx="5158277" cy="2069102"/>
            <wp:effectExtent l="0" t="0" r="0" b="0"/>
            <wp:docPr id="26" name="image30.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0.png" descr="Interfaz de usuario gráfica, Texto, Aplicación&#10;&#10;El contenido generado por IA puede ser incorrecto."/>
                    <pic:cNvPicPr preferRelativeResize="0"/>
                  </pic:nvPicPr>
                  <pic:blipFill>
                    <a:blip r:embed="rId25"/>
                    <a:srcRect l="14588" t="28929" r="17243" b="22434"/>
                    <a:stretch>
                      <a:fillRect/>
                    </a:stretch>
                  </pic:blipFill>
                  <pic:spPr>
                    <a:xfrm>
                      <a:off x="0" y="0"/>
                      <a:ext cx="5158277" cy="2069102"/>
                    </a:xfrm>
                    <a:prstGeom prst="rect">
                      <a:avLst/>
                    </a:prstGeom>
                    <a:ln/>
                  </pic:spPr>
                </pic:pic>
              </a:graphicData>
            </a:graphic>
          </wp:inline>
        </w:drawing>
      </w:r>
    </w:p>
    <w:p w14:paraId="6C5933C2" w14:textId="77777777" w:rsidR="00572AD5" w:rsidRDefault="00572AD5">
      <w:pPr>
        <w:pBdr>
          <w:top w:val="nil"/>
          <w:left w:val="nil"/>
          <w:bottom w:val="nil"/>
          <w:right w:val="nil"/>
          <w:between w:val="nil"/>
        </w:pBdr>
        <w:spacing w:after="120"/>
        <w:jc w:val="both"/>
        <w:rPr>
          <w:rFonts w:ascii="Arial" w:eastAsia="Arial" w:hAnsi="Arial" w:cs="Arial"/>
          <w:color w:val="000000"/>
          <w:sz w:val="22"/>
          <w:szCs w:val="22"/>
          <w:highlight w:val="green"/>
        </w:rPr>
      </w:pPr>
    </w:p>
    <w:p w14:paraId="35239C4D"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El subsector de actividades inmobiliarias registró un incremento del 8,6%, lo que se traduce en una contribución positiva del 0,2% al total, destacándose como uno de los subsectores con un crecimiento significativo. En paralelo, el subsector de actividades profesionales, científicas y técnicas experimentó un crecimiento más modesto del 2,6%, pero con una contribución de 0,2%. Por su parte, las actividades de los hogares individuales como productores mostraron un aumento notable del 22,6%, aunque su contribución al total es muy pequeña (0,0%).</w:t>
      </w:r>
    </w:p>
    <w:p w14:paraId="32301582"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noProof/>
          <w:color w:val="000000"/>
          <w:highlight w:val="green"/>
        </w:rPr>
        <w:lastRenderedPageBreak/>
        <w:drawing>
          <wp:inline distT="0" distB="0" distL="0" distR="0" wp14:anchorId="21365242" wp14:editId="3BFE72D6">
            <wp:extent cx="4651708" cy="4159196"/>
            <wp:effectExtent l="0" t="0" r="0" b="0"/>
            <wp:docPr id="27" name="image12.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2.png" descr="Interfaz de usuario gráfica, Texto, Aplicación&#10;&#10;El contenido generado por IA puede ser incorrecto."/>
                    <pic:cNvPicPr preferRelativeResize="0"/>
                  </pic:nvPicPr>
                  <pic:blipFill>
                    <a:blip r:embed="rId26"/>
                    <a:srcRect l="27630" t="23442" r="29442" b="5215"/>
                    <a:stretch>
                      <a:fillRect/>
                    </a:stretch>
                  </pic:blipFill>
                  <pic:spPr>
                    <a:xfrm>
                      <a:off x="0" y="0"/>
                      <a:ext cx="4651708" cy="4159196"/>
                    </a:xfrm>
                    <a:prstGeom prst="rect">
                      <a:avLst/>
                    </a:prstGeom>
                    <a:ln/>
                  </pic:spPr>
                </pic:pic>
              </a:graphicData>
            </a:graphic>
          </wp:inline>
        </w:drawing>
      </w:r>
    </w:p>
    <w:p w14:paraId="79B5E667" w14:textId="77777777" w:rsidR="00572AD5" w:rsidRDefault="00000000">
      <w:pPr>
        <w:pBdr>
          <w:top w:val="nil"/>
          <w:left w:val="nil"/>
          <w:bottom w:val="nil"/>
          <w:right w:val="nil"/>
          <w:between w:val="nil"/>
        </w:pBdr>
        <w:spacing w:after="120"/>
        <w:ind w:right="274"/>
        <w:jc w:val="both"/>
        <w:rPr>
          <w:rFonts w:ascii="Arial" w:eastAsia="Arial" w:hAnsi="Arial" w:cs="Arial"/>
          <w:b/>
          <w:color w:val="000000"/>
          <w:sz w:val="22"/>
          <w:szCs w:val="22"/>
        </w:rPr>
      </w:pPr>
      <w:r>
        <w:rPr>
          <w:rFonts w:ascii="Arial" w:eastAsia="Arial" w:hAnsi="Arial" w:cs="Arial"/>
          <w:b/>
          <w:color w:val="000000"/>
          <w:sz w:val="22"/>
          <w:szCs w:val="22"/>
        </w:rPr>
        <w:t>Generación de empleo</w:t>
      </w:r>
    </w:p>
    <w:p w14:paraId="5254F6E0"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Según el RUES, el 45% de las nuevas empresas creadas en 2024 generaron al menos un puesto de trabajo. De estas empresas generadoras de empleo, el 38% pertenecen al comercio al por mayor y al por menor, el 17% al sector de alojamiento y servicios de comida, el 10% a industrias manufactureras, el 6% a actividades profesionales, científicas y técnicas, y otro 5% al sector de la construcción.</w:t>
      </w:r>
    </w:p>
    <w:p w14:paraId="49B0B76D" w14:textId="77777777" w:rsidR="00572AD5" w:rsidRDefault="00572AD5">
      <w:pPr>
        <w:pBdr>
          <w:top w:val="nil"/>
          <w:left w:val="nil"/>
          <w:bottom w:val="nil"/>
          <w:right w:val="nil"/>
          <w:between w:val="nil"/>
        </w:pBdr>
        <w:ind w:right="274"/>
        <w:jc w:val="both"/>
        <w:rPr>
          <w:color w:val="000000"/>
        </w:rPr>
      </w:pPr>
    </w:p>
    <w:p w14:paraId="1B799F5A" w14:textId="77777777" w:rsidR="00572AD5" w:rsidRDefault="00000000">
      <w:pPr>
        <w:pBdr>
          <w:top w:val="nil"/>
          <w:left w:val="nil"/>
          <w:bottom w:val="nil"/>
          <w:right w:val="nil"/>
          <w:between w:val="nil"/>
        </w:pBdr>
        <w:ind w:right="274"/>
        <w:jc w:val="both"/>
        <w:rPr>
          <w:rFonts w:ascii="Arial" w:eastAsia="Arial" w:hAnsi="Arial" w:cs="Arial"/>
          <w:b/>
          <w:color w:val="000000"/>
        </w:rPr>
      </w:pPr>
      <w:r>
        <w:rPr>
          <w:noProof/>
          <w:color w:val="000000"/>
        </w:rPr>
        <w:drawing>
          <wp:inline distT="0" distB="0" distL="0" distR="0" wp14:anchorId="2B8852CF" wp14:editId="6572A115">
            <wp:extent cx="4552950" cy="2286000"/>
            <wp:effectExtent l="0" t="0" r="0" b="0"/>
            <wp:docPr id="2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7"/>
                    <a:srcRect l="21834" t="30471" r="25093" b="15156"/>
                    <a:stretch>
                      <a:fillRect/>
                    </a:stretch>
                  </pic:blipFill>
                  <pic:spPr>
                    <a:xfrm>
                      <a:off x="0" y="0"/>
                      <a:ext cx="4553424" cy="2286238"/>
                    </a:xfrm>
                    <a:prstGeom prst="rect">
                      <a:avLst/>
                    </a:prstGeom>
                    <a:ln/>
                  </pic:spPr>
                </pic:pic>
              </a:graphicData>
            </a:graphic>
          </wp:inline>
        </w:drawing>
      </w:r>
    </w:p>
    <w:p w14:paraId="540AD6FE" w14:textId="07D4B8EF" w:rsidR="00572AD5" w:rsidRDefault="00000000">
      <w:pPr>
        <w:pBdr>
          <w:top w:val="nil"/>
          <w:left w:val="nil"/>
          <w:bottom w:val="nil"/>
          <w:right w:val="nil"/>
          <w:between w:val="nil"/>
        </w:pBdr>
        <w:ind w:right="274"/>
        <w:jc w:val="both"/>
        <w:rPr>
          <w:rFonts w:ascii="Arial" w:eastAsia="Arial" w:hAnsi="Arial" w:cs="Arial"/>
          <w:b/>
          <w:color w:val="000000"/>
          <w:sz w:val="22"/>
          <w:szCs w:val="22"/>
        </w:rPr>
      </w:pPr>
      <w:r>
        <w:rPr>
          <w:rFonts w:ascii="Arial" w:eastAsia="Arial" w:hAnsi="Arial" w:cs="Arial"/>
          <w:b/>
          <w:color w:val="000000"/>
          <w:sz w:val="22"/>
          <w:szCs w:val="22"/>
        </w:rPr>
        <w:lastRenderedPageBreak/>
        <w:t>Generalidades:</w:t>
      </w:r>
    </w:p>
    <w:p w14:paraId="3EE6B1C7" w14:textId="77777777" w:rsidR="00572AD5" w:rsidRDefault="00572AD5">
      <w:pPr>
        <w:pBdr>
          <w:top w:val="nil"/>
          <w:left w:val="nil"/>
          <w:bottom w:val="nil"/>
          <w:right w:val="nil"/>
          <w:between w:val="nil"/>
        </w:pBdr>
        <w:ind w:right="274"/>
        <w:jc w:val="both"/>
        <w:rPr>
          <w:rFonts w:ascii="Arial" w:eastAsia="Arial" w:hAnsi="Arial" w:cs="Arial"/>
          <w:color w:val="000000"/>
          <w:sz w:val="22"/>
          <w:szCs w:val="22"/>
        </w:rPr>
      </w:pPr>
    </w:p>
    <w:p w14:paraId="333F0186"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A pesar de las dificultades, el tejido empresarial mostró una notable resiliencia. El número total de empresas en el país aumentó en 4.769 unidades, pasando de 1.733.636 en 2023 a 1.739.405 en 2024, lo que representa un crecimiento del 0,3%. Este incremento evidencia que, aunque se redujo la creación de nuevas empresas, el sector empresarial sigue adaptándose y fortaleciendo su papel como pilar de la economía nacional.</w:t>
      </w:r>
    </w:p>
    <w:p w14:paraId="132A508B" w14:textId="77777777" w:rsidR="00572AD5" w:rsidRDefault="00572AD5">
      <w:pPr>
        <w:pBdr>
          <w:top w:val="nil"/>
          <w:left w:val="nil"/>
          <w:bottom w:val="nil"/>
          <w:right w:val="nil"/>
          <w:between w:val="nil"/>
        </w:pBdr>
        <w:ind w:right="274"/>
        <w:jc w:val="both"/>
        <w:rPr>
          <w:rFonts w:ascii="Arial" w:eastAsia="Arial" w:hAnsi="Arial" w:cs="Arial"/>
          <w:color w:val="000000"/>
          <w:sz w:val="22"/>
          <w:szCs w:val="22"/>
        </w:rPr>
      </w:pPr>
    </w:p>
    <w:p w14:paraId="59609652"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De cara a 2025, las perspectivas económicas son positivas. La OCDE proyecta un crecimiento del 2,7% para Colombia, mientras que se espera que la inflación converja hacia el rango meta del Banco de la República (2%-4%) en el segundo trimestre. Asimismo, se prevé una reducción de la tasa de interés de intervención al 6% hacia finales de año, creando condiciones clave para estimular el consumo y la inversión privada.</w:t>
      </w:r>
    </w:p>
    <w:p w14:paraId="6973BFF9" w14:textId="77777777" w:rsidR="00572AD5" w:rsidRDefault="00572AD5">
      <w:pPr>
        <w:pBdr>
          <w:top w:val="nil"/>
          <w:left w:val="nil"/>
          <w:bottom w:val="nil"/>
          <w:right w:val="nil"/>
          <w:between w:val="nil"/>
        </w:pBdr>
        <w:ind w:right="274"/>
        <w:jc w:val="both"/>
        <w:rPr>
          <w:rFonts w:ascii="Arial" w:eastAsia="Arial" w:hAnsi="Arial" w:cs="Arial"/>
          <w:b/>
          <w:color w:val="000000"/>
        </w:rPr>
      </w:pPr>
    </w:p>
    <w:p w14:paraId="18989AC9"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Gremios y asociaciones que participan en el sector construcción:</w:t>
      </w:r>
    </w:p>
    <w:p w14:paraId="3176D701"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7230DD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En el sector de la construcción en Colombia, participan agremiaciones de diferentes ámbitos, tales como los productores o proveedores de materiales, constructores, agremiaciones de profesionales del sector, entidades estatales, universidades, entre otras. A continuación, se relaciona un listado de agremiaciones, asociaciones y entidades que participan del sector de la construcción e influyen desde diferentes frentes en la dinámica del mercado:</w:t>
      </w:r>
    </w:p>
    <w:p w14:paraId="56D7C295" w14:textId="77777777" w:rsidR="00572AD5" w:rsidRDefault="00572AD5">
      <w:pPr>
        <w:pBdr>
          <w:top w:val="nil"/>
          <w:left w:val="nil"/>
          <w:bottom w:val="nil"/>
          <w:right w:val="nil"/>
          <w:between w:val="nil"/>
        </w:pBdr>
        <w:jc w:val="both"/>
        <w:rPr>
          <w:rFonts w:ascii="Arial" w:eastAsia="Arial" w:hAnsi="Arial" w:cs="Arial"/>
          <w:color w:val="000000"/>
        </w:rPr>
      </w:pPr>
    </w:p>
    <w:tbl>
      <w:tblPr>
        <w:tblStyle w:val="ab"/>
        <w:tblW w:w="87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12"/>
        <w:gridCol w:w="2977"/>
      </w:tblGrid>
      <w:tr w:rsidR="00572AD5" w14:paraId="0899B079" w14:textId="77777777">
        <w:trPr>
          <w:trHeight w:val="273"/>
          <w:jc w:val="center"/>
        </w:trPr>
        <w:tc>
          <w:tcPr>
            <w:tcW w:w="5812" w:type="dxa"/>
            <w:shd w:val="clear" w:color="auto" w:fill="D9D9D9"/>
          </w:tcPr>
          <w:p w14:paraId="2E50AC2A"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AGREMIACIÓN/ ENTIDAD</w:t>
            </w:r>
          </w:p>
        </w:tc>
        <w:tc>
          <w:tcPr>
            <w:tcW w:w="2977" w:type="dxa"/>
            <w:shd w:val="clear" w:color="auto" w:fill="D9D9D9"/>
          </w:tcPr>
          <w:p w14:paraId="67E99F8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PÁGINA WEB</w:t>
            </w:r>
          </w:p>
        </w:tc>
      </w:tr>
      <w:tr w:rsidR="00572AD5" w14:paraId="7250385B" w14:textId="77777777">
        <w:trPr>
          <w:trHeight w:val="546"/>
          <w:jc w:val="center"/>
        </w:trPr>
        <w:tc>
          <w:tcPr>
            <w:tcW w:w="5812" w:type="dxa"/>
          </w:tcPr>
          <w:p w14:paraId="0B13CEC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 C I E M, Asociación Colombiana De Ingenieros Eléctricos, Mecánicos Y Afines Nacional</w:t>
            </w:r>
          </w:p>
        </w:tc>
        <w:tc>
          <w:tcPr>
            <w:tcW w:w="2977" w:type="dxa"/>
          </w:tcPr>
          <w:p w14:paraId="11F154D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www.aciem,orq</w:t>
            </w:r>
          </w:p>
        </w:tc>
      </w:tr>
      <w:tr w:rsidR="00572AD5" w14:paraId="5E0ACBF1" w14:textId="77777777">
        <w:trPr>
          <w:trHeight w:val="530"/>
          <w:jc w:val="center"/>
        </w:trPr>
        <w:tc>
          <w:tcPr>
            <w:tcW w:w="5812" w:type="dxa"/>
          </w:tcPr>
          <w:p w14:paraId="0A8EF81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ACAIRE, Asociación Colombiana Del Acondicionamiento De Aire Y La Refrigeración</w:t>
            </w:r>
          </w:p>
        </w:tc>
        <w:tc>
          <w:tcPr>
            <w:tcW w:w="2977" w:type="dxa"/>
          </w:tcPr>
          <w:p w14:paraId="29D15085"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28">
              <w:r>
                <w:rPr>
                  <w:rFonts w:ascii="Arial" w:eastAsia="Arial" w:hAnsi="Arial" w:cs="Arial"/>
                  <w:color w:val="000000"/>
                  <w:sz w:val="24"/>
                  <w:szCs w:val="24"/>
                </w:rPr>
                <w:t>www.acaire.com</w:t>
              </w:r>
            </w:hyperlink>
          </w:p>
        </w:tc>
      </w:tr>
      <w:tr w:rsidR="00572AD5" w14:paraId="14A3A355" w14:textId="77777777">
        <w:trPr>
          <w:trHeight w:val="273"/>
          <w:jc w:val="center"/>
        </w:trPr>
        <w:tc>
          <w:tcPr>
            <w:tcW w:w="5812" w:type="dxa"/>
          </w:tcPr>
          <w:p w14:paraId="5F3EBD4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ACIC, Asociación Colombiana De Ingenieros Constructores</w:t>
            </w:r>
          </w:p>
        </w:tc>
        <w:tc>
          <w:tcPr>
            <w:tcW w:w="2977" w:type="dxa"/>
          </w:tcPr>
          <w:p w14:paraId="04F0601B"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29">
              <w:r>
                <w:rPr>
                  <w:rFonts w:ascii="Arial" w:eastAsia="Arial" w:hAnsi="Arial" w:cs="Arial"/>
                  <w:color w:val="000000"/>
                  <w:sz w:val="24"/>
                  <w:szCs w:val="24"/>
                </w:rPr>
                <w:t>www.acic.org.co</w:t>
              </w:r>
            </w:hyperlink>
          </w:p>
        </w:tc>
      </w:tr>
      <w:tr w:rsidR="00572AD5" w14:paraId="79144AF9" w14:textId="77777777">
        <w:trPr>
          <w:trHeight w:val="273"/>
          <w:jc w:val="center"/>
        </w:trPr>
        <w:tc>
          <w:tcPr>
            <w:tcW w:w="5812" w:type="dxa"/>
          </w:tcPr>
          <w:p w14:paraId="64BDBE3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ACIPET, Asociación Colombina de Ingenieros de Petróleos</w:t>
            </w:r>
          </w:p>
        </w:tc>
        <w:tc>
          <w:tcPr>
            <w:tcW w:w="2977" w:type="dxa"/>
          </w:tcPr>
          <w:p w14:paraId="5E36D849"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0">
              <w:r>
                <w:rPr>
                  <w:rFonts w:ascii="Arial" w:eastAsia="Arial" w:hAnsi="Arial" w:cs="Arial"/>
                  <w:color w:val="000000"/>
                  <w:sz w:val="24"/>
                  <w:szCs w:val="24"/>
                </w:rPr>
                <w:t>www.acipet.com</w:t>
              </w:r>
            </w:hyperlink>
          </w:p>
        </w:tc>
      </w:tr>
      <w:tr w:rsidR="00572AD5" w14:paraId="04894E97" w14:textId="77777777">
        <w:trPr>
          <w:trHeight w:val="271"/>
          <w:jc w:val="center"/>
        </w:trPr>
        <w:tc>
          <w:tcPr>
            <w:tcW w:w="5812" w:type="dxa"/>
          </w:tcPr>
          <w:p w14:paraId="1A8D263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ACOFI, Asociación Colombiana de Facultades de Ingeniería</w:t>
            </w:r>
          </w:p>
        </w:tc>
        <w:tc>
          <w:tcPr>
            <w:tcW w:w="2977" w:type="dxa"/>
          </w:tcPr>
          <w:p w14:paraId="3400249C"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1">
              <w:r>
                <w:rPr>
                  <w:rFonts w:ascii="Arial" w:eastAsia="Arial" w:hAnsi="Arial" w:cs="Arial"/>
                  <w:color w:val="000000"/>
                  <w:sz w:val="24"/>
                  <w:szCs w:val="24"/>
                </w:rPr>
                <w:t>www.acofi.edu.co</w:t>
              </w:r>
            </w:hyperlink>
          </w:p>
        </w:tc>
      </w:tr>
      <w:tr w:rsidR="00572AD5" w14:paraId="0F776C5D" w14:textId="77777777">
        <w:trPr>
          <w:trHeight w:val="256"/>
          <w:jc w:val="center"/>
        </w:trPr>
        <w:tc>
          <w:tcPr>
            <w:tcW w:w="5812" w:type="dxa"/>
          </w:tcPr>
          <w:p w14:paraId="2298A922"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AGRECON, Agregados Y Concretos S.A.</w:t>
            </w:r>
          </w:p>
        </w:tc>
        <w:tc>
          <w:tcPr>
            <w:tcW w:w="2977" w:type="dxa"/>
          </w:tcPr>
          <w:p w14:paraId="559D529E"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2">
              <w:r>
                <w:rPr>
                  <w:rFonts w:ascii="Arial" w:eastAsia="Arial" w:hAnsi="Arial" w:cs="Arial"/>
                  <w:color w:val="000000"/>
                  <w:sz w:val="24"/>
                  <w:szCs w:val="24"/>
                </w:rPr>
                <w:t>www.agrecon.com.co</w:t>
              </w:r>
            </w:hyperlink>
          </w:p>
        </w:tc>
      </w:tr>
      <w:tr w:rsidR="00572AD5" w14:paraId="5629E344" w14:textId="77777777">
        <w:trPr>
          <w:trHeight w:val="273"/>
          <w:jc w:val="center"/>
        </w:trPr>
        <w:tc>
          <w:tcPr>
            <w:tcW w:w="5812" w:type="dxa"/>
          </w:tcPr>
          <w:p w14:paraId="7384F40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ANDI, Asociación Nacional De Industriales</w:t>
            </w:r>
          </w:p>
        </w:tc>
        <w:tc>
          <w:tcPr>
            <w:tcW w:w="2977" w:type="dxa"/>
          </w:tcPr>
          <w:p w14:paraId="4E921B3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3">
              <w:r>
                <w:rPr>
                  <w:rFonts w:ascii="Arial" w:eastAsia="Arial" w:hAnsi="Arial" w:cs="Arial"/>
                  <w:color w:val="000000"/>
                  <w:sz w:val="24"/>
                  <w:szCs w:val="24"/>
                </w:rPr>
                <w:t>www.andi.com.co</w:t>
              </w:r>
            </w:hyperlink>
          </w:p>
        </w:tc>
      </w:tr>
      <w:tr w:rsidR="00572AD5" w14:paraId="7FD08F51" w14:textId="77777777">
        <w:trPr>
          <w:trHeight w:val="273"/>
          <w:jc w:val="center"/>
        </w:trPr>
        <w:tc>
          <w:tcPr>
            <w:tcW w:w="5812" w:type="dxa"/>
          </w:tcPr>
          <w:p w14:paraId="200097F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ANEIC, Asociación Colombiana de Estudiantes de Ingeniería Civil</w:t>
            </w:r>
          </w:p>
        </w:tc>
        <w:tc>
          <w:tcPr>
            <w:tcW w:w="2977" w:type="dxa"/>
          </w:tcPr>
          <w:p w14:paraId="51D1FC8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4">
              <w:r>
                <w:rPr>
                  <w:rFonts w:ascii="Arial" w:eastAsia="Arial" w:hAnsi="Arial" w:cs="Arial"/>
                  <w:color w:val="000000"/>
                  <w:sz w:val="24"/>
                  <w:szCs w:val="24"/>
                </w:rPr>
                <w:t>www.aneic.orq</w:t>
              </w:r>
            </w:hyperlink>
          </w:p>
        </w:tc>
      </w:tr>
      <w:tr w:rsidR="00572AD5" w14:paraId="43E2FBA9" w14:textId="77777777">
        <w:trPr>
          <w:trHeight w:val="256"/>
          <w:jc w:val="center"/>
        </w:trPr>
        <w:tc>
          <w:tcPr>
            <w:tcW w:w="5812" w:type="dxa"/>
          </w:tcPr>
          <w:p w14:paraId="7F1707F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ASOBANCARIA, Asociación Bancaria y de Entidades Financieras de Colombia</w:t>
            </w:r>
          </w:p>
        </w:tc>
        <w:tc>
          <w:tcPr>
            <w:tcW w:w="2977" w:type="dxa"/>
          </w:tcPr>
          <w:p w14:paraId="31988996"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5">
              <w:r>
                <w:rPr>
                  <w:rFonts w:ascii="Arial" w:eastAsia="Arial" w:hAnsi="Arial" w:cs="Arial"/>
                  <w:color w:val="000000"/>
                  <w:sz w:val="24"/>
                  <w:szCs w:val="24"/>
                </w:rPr>
                <w:t>www.asobancaria.com</w:t>
              </w:r>
            </w:hyperlink>
          </w:p>
        </w:tc>
      </w:tr>
      <w:tr w:rsidR="00572AD5" w14:paraId="586A120A" w14:textId="77777777">
        <w:trPr>
          <w:trHeight w:val="273"/>
          <w:jc w:val="center"/>
        </w:trPr>
        <w:tc>
          <w:tcPr>
            <w:tcW w:w="5812" w:type="dxa"/>
          </w:tcPr>
          <w:p w14:paraId="75DD56C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ASOCRETO, Asociación De Productores De Concreto</w:t>
            </w:r>
          </w:p>
        </w:tc>
        <w:tc>
          <w:tcPr>
            <w:tcW w:w="2977" w:type="dxa"/>
          </w:tcPr>
          <w:p w14:paraId="475664E9"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6">
              <w:r>
                <w:rPr>
                  <w:rFonts w:ascii="Arial" w:eastAsia="Arial" w:hAnsi="Arial" w:cs="Arial"/>
                  <w:color w:val="000000"/>
                  <w:sz w:val="24"/>
                  <w:szCs w:val="24"/>
                </w:rPr>
                <w:t>www.asocreto.org.co</w:t>
              </w:r>
            </w:hyperlink>
          </w:p>
        </w:tc>
      </w:tr>
      <w:tr w:rsidR="00572AD5" w14:paraId="55F1A4A8" w14:textId="77777777">
        <w:trPr>
          <w:trHeight w:val="273"/>
          <w:jc w:val="center"/>
        </w:trPr>
        <w:tc>
          <w:tcPr>
            <w:tcW w:w="5812" w:type="dxa"/>
          </w:tcPr>
          <w:p w14:paraId="7842E9D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CAMACOL, Cámara Colombiana De La Construcción</w:t>
            </w:r>
          </w:p>
        </w:tc>
        <w:tc>
          <w:tcPr>
            <w:tcW w:w="2977" w:type="dxa"/>
          </w:tcPr>
          <w:p w14:paraId="3A11BFA3"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7">
              <w:r>
                <w:rPr>
                  <w:rFonts w:ascii="Arial" w:eastAsia="Arial" w:hAnsi="Arial" w:cs="Arial"/>
                  <w:color w:val="000000"/>
                  <w:sz w:val="24"/>
                  <w:szCs w:val="24"/>
                </w:rPr>
                <w:t>www.camacolantioguia.org.co</w:t>
              </w:r>
            </w:hyperlink>
          </w:p>
        </w:tc>
      </w:tr>
      <w:tr w:rsidR="00572AD5" w14:paraId="34D3EF47" w14:textId="77777777">
        <w:trPr>
          <w:trHeight w:val="273"/>
          <w:jc w:val="center"/>
        </w:trPr>
        <w:tc>
          <w:tcPr>
            <w:tcW w:w="5812" w:type="dxa"/>
          </w:tcPr>
          <w:p w14:paraId="3246B612"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COLOMBIT</w:t>
            </w:r>
          </w:p>
        </w:tc>
        <w:tc>
          <w:tcPr>
            <w:tcW w:w="2977" w:type="dxa"/>
          </w:tcPr>
          <w:p w14:paraId="5DC39FBD"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8">
              <w:r>
                <w:rPr>
                  <w:rFonts w:ascii="Arial" w:eastAsia="Arial" w:hAnsi="Arial" w:cs="Arial"/>
                  <w:color w:val="000000"/>
                  <w:sz w:val="24"/>
                  <w:szCs w:val="24"/>
                </w:rPr>
                <w:t>www.colombit.com.co/</w:t>
              </w:r>
            </w:hyperlink>
          </w:p>
        </w:tc>
      </w:tr>
      <w:tr w:rsidR="00572AD5" w14:paraId="22D4D018" w14:textId="77777777">
        <w:trPr>
          <w:trHeight w:val="529"/>
          <w:jc w:val="center"/>
        </w:trPr>
        <w:tc>
          <w:tcPr>
            <w:tcW w:w="5812" w:type="dxa"/>
          </w:tcPr>
          <w:p w14:paraId="418F338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CURADURIAS URBANAS</w:t>
            </w:r>
          </w:p>
          <w:p w14:paraId="2DB9DAB4"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DAACD, Departamento Administrativo De Acción Comunal Distrital</w:t>
            </w:r>
          </w:p>
        </w:tc>
        <w:tc>
          <w:tcPr>
            <w:tcW w:w="2977" w:type="dxa"/>
          </w:tcPr>
          <w:p w14:paraId="4E07F87E"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39">
              <w:r>
                <w:rPr>
                  <w:rFonts w:ascii="Arial" w:eastAsia="Arial" w:hAnsi="Arial" w:cs="Arial"/>
                  <w:color w:val="000000"/>
                  <w:sz w:val="24"/>
                  <w:szCs w:val="24"/>
                </w:rPr>
                <w:t>www.accioncomunal.gov.co</w:t>
              </w:r>
            </w:hyperlink>
            <w:r>
              <w:rPr>
                <w:rFonts w:ascii="Arial" w:eastAsia="Arial" w:hAnsi="Arial" w:cs="Arial"/>
                <w:color w:val="000000"/>
                <w:sz w:val="24"/>
                <w:szCs w:val="24"/>
              </w:rPr>
              <w:t xml:space="preserve"> </w:t>
            </w:r>
            <w:hyperlink r:id="rId40">
              <w:r>
                <w:rPr>
                  <w:rFonts w:ascii="Arial" w:eastAsia="Arial" w:hAnsi="Arial" w:cs="Arial"/>
                  <w:color w:val="000000"/>
                  <w:sz w:val="24"/>
                  <w:szCs w:val="24"/>
                </w:rPr>
                <w:t>www.accioncomunal.gov.co</w:t>
              </w:r>
            </w:hyperlink>
          </w:p>
        </w:tc>
      </w:tr>
      <w:tr w:rsidR="00572AD5" w14:paraId="750C4C22" w14:textId="77777777">
        <w:trPr>
          <w:trHeight w:val="273"/>
          <w:jc w:val="center"/>
        </w:trPr>
        <w:tc>
          <w:tcPr>
            <w:tcW w:w="5812" w:type="dxa"/>
          </w:tcPr>
          <w:p w14:paraId="593FE5C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DAMA, Departamento Administrativo Del Medio Ambiente</w:t>
            </w:r>
          </w:p>
        </w:tc>
        <w:tc>
          <w:tcPr>
            <w:tcW w:w="2977" w:type="dxa"/>
          </w:tcPr>
          <w:p w14:paraId="035F2B49"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1">
              <w:r>
                <w:rPr>
                  <w:rFonts w:ascii="Arial" w:eastAsia="Arial" w:hAnsi="Arial" w:cs="Arial"/>
                  <w:color w:val="000000"/>
                  <w:sz w:val="24"/>
                  <w:szCs w:val="24"/>
                </w:rPr>
                <w:t>www.dama.gov.co</w:t>
              </w:r>
            </w:hyperlink>
          </w:p>
        </w:tc>
      </w:tr>
      <w:tr w:rsidR="00572AD5" w14:paraId="724CFB64" w14:textId="77777777">
        <w:trPr>
          <w:trHeight w:val="273"/>
          <w:jc w:val="center"/>
        </w:trPr>
        <w:tc>
          <w:tcPr>
            <w:tcW w:w="5812" w:type="dxa"/>
          </w:tcPr>
          <w:p w14:paraId="73D1B287"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DANE, Departamento Administrativo Nacional De Estadística</w:t>
            </w:r>
          </w:p>
        </w:tc>
        <w:tc>
          <w:tcPr>
            <w:tcW w:w="2977" w:type="dxa"/>
          </w:tcPr>
          <w:p w14:paraId="4EBAE0C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2">
              <w:r>
                <w:rPr>
                  <w:rFonts w:ascii="Arial" w:eastAsia="Arial" w:hAnsi="Arial" w:cs="Arial"/>
                  <w:color w:val="000000"/>
                  <w:sz w:val="24"/>
                  <w:szCs w:val="24"/>
                </w:rPr>
                <w:t>www.dane.gov.co</w:t>
              </w:r>
            </w:hyperlink>
          </w:p>
        </w:tc>
      </w:tr>
      <w:tr w:rsidR="00572AD5" w14:paraId="3E2565F0" w14:textId="77777777">
        <w:trPr>
          <w:trHeight w:val="270"/>
          <w:jc w:val="center"/>
        </w:trPr>
        <w:tc>
          <w:tcPr>
            <w:tcW w:w="5812" w:type="dxa"/>
          </w:tcPr>
          <w:p w14:paraId="0E551CC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DNP, Departamento Nacional De Planeación</w:t>
            </w:r>
          </w:p>
        </w:tc>
        <w:tc>
          <w:tcPr>
            <w:tcW w:w="2977" w:type="dxa"/>
          </w:tcPr>
          <w:p w14:paraId="723D8BB4"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3">
              <w:r>
                <w:rPr>
                  <w:rFonts w:ascii="Arial" w:eastAsia="Arial" w:hAnsi="Arial" w:cs="Arial"/>
                  <w:color w:val="000000"/>
                  <w:sz w:val="24"/>
                  <w:szCs w:val="24"/>
                </w:rPr>
                <w:t>www.dnp.gov.co</w:t>
              </w:r>
            </w:hyperlink>
          </w:p>
        </w:tc>
      </w:tr>
      <w:tr w:rsidR="00572AD5" w14:paraId="7FBA27DC" w14:textId="77777777">
        <w:trPr>
          <w:trHeight w:val="256"/>
          <w:jc w:val="center"/>
        </w:trPr>
        <w:tc>
          <w:tcPr>
            <w:tcW w:w="5812" w:type="dxa"/>
          </w:tcPr>
          <w:p w14:paraId="3BC4713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EMPRESA DE SERVICIOS PÚBLICOS</w:t>
            </w:r>
          </w:p>
        </w:tc>
        <w:tc>
          <w:tcPr>
            <w:tcW w:w="2977" w:type="dxa"/>
          </w:tcPr>
          <w:p w14:paraId="7A39352E"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p>
        </w:tc>
      </w:tr>
      <w:tr w:rsidR="00572AD5" w14:paraId="3E563834" w14:textId="77777777">
        <w:trPr>
          <w:trHeight w:val="273"/>
          <w:jc w:val="center"/>
        </w:trPr>
        <w:tc>
          <w:tcPr>
            <w:tcW w:w="5812" w:type="dxa"/>
          </w:tcPr>
          <w:p w14:paraId="2398106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FAVIDI, Fondo De Ahorro Y Vivienda Distrital</w:t>
            </w:r>
          </w:p>
        </w:tc>
        <w:tc>
          <w:tcPr>
            <w:tcW w:w="2977" w:type="dxa"/>
          </w:tcPr>
          <w:p w14:paraId="1BB9B4B5"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4">
              <w:r>
                <w:rPr>
                  <w:rFonts w:ascii="Arial" w:eastAsia="Arial" w:hAnsi="Arial" w:cs="Arial"/>
                  <w:color w:val="000000"/>
                  <w:sz w:val="24"/>
                  <w:szCs w:val="24"/>
                </w:rPr>
                <w:t>www.favidv.co.com</w:t>
              </w:r>
            </w:hyperlink>
          </w:p>
        </w:tc>
      </w:tr>
      <w:tr w:rsidR="00572AD5" w14:paraId="5D837A63" w14:textId="77777777">
        <w:trPr>
          <w:trHeight w:val="273"/>
          <w:jc w:val="center"/>
        </w:trPr>
        <w:tc>
          <w:tcPr>
            <w:tcW w:w="5812" w:type="dxa"/>
          </w:tcPr>
          <w:p w14:paraId="0CB7026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FEDEVIVIENDA, Federación Nacional De Organizaciones De Vivienda Popular</w:t>
            </w:r>
          </w:p>
        </w:tc>
        <w:tc>
          <w:tcPr>
            <w:tcW w:w="2977" w:type="dxa"/>
          </w:tcPr>
          <w:p w14:paraId="63E4D9C6"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5">
              <w:r>
                <w:rPr>
                  <w:rFonts w:ascii="Arial" w:eastAsia="Arial" w:hAnsi="Arial" w:cs="Arial"/>
                  <w:color w:val="000000"/>
                  <w:sz w:val="24"/>
                  <w:szCs w:val="24"/>
                </w:rPr>
                <w:t>wwww.fedevivienda.org.c</w:t>
              </w:r>
            </w:hyperlink>
            <w:r>
              <w:rPr>
                <w:rFonts w:ascii="Arial" w:eastAsia="Arial" w:hAnsi="Arial" w:cs="Arial"/>
                <w:color w:val="000000"/>
                <w:sz w:val="24"/>
                <w:szCs w:val="24"/>
              </w:rPr>
              <w:t>o</w:t>
            </w:r>
          </w:p>
        </w:tc>
      </w:tr>
      <w:tr w:rsidR="00572AD5" w14:paraId="44D31F04" w14:textId="77777777">
        <w:trPr>
          <w:trHeight w:val="273"/>
          <w:jc w:val="center"/>
        </w:trPr>
        <w:tc>
          <w:tcPr>
            <w:tcW w:w="5812" w:type="dxa"/>
          </w:tcPr>
          <w:p w14:paraId="17FB12AA"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ICAV, Instituto Colombiano De Ahorro Y Vivienda</w:t>
            </w:r>
          </w:p>
        </w:tc>
        <w:tc>
          <w:tcPr>
            <w:tcW w:w="2977" w:type="dxa"/>
          </w:tcPr>
          <w:p w14:paraId="1607D06A"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6">
              <w:r>
                <w:rPr>
                  <w:rFonts w:ascii="Arial" w:eastAsia="Arial" w:hAnsi="Arial" w:cs="Arial"/>
                  <w:color w:val="000000"/>
                  <w:sz w:val="24"/>
                  <w:szCs w:val="24"/>
                </w:rPr>
                <w:t>www.icav.com</w:t>
              </w:r>
            </w:hyperlink>
          </w:p>
        </w:tc>
      </w:tr>
      <w:tr w:rsidR="00572AD5" w14:paraId="0FF4B6AB" w14:textId="77777777">
        <w:trPr>
          <w:trHeight w:val="256"/>
          <w:jc w:val="center"/>
        </w:trPr>
        <w:tc>
          <w:tcPr>
            <w:tcW w:w="5812" w:type="dxa"/>
          </w:tcPr>
          <w:p w14:paraId="7259B23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ICONTEC, Instituto Colombiano de Normas Técnicas y Certificación</w:t>
            </w:r>
          </w:p>
        </w:tc>
        <w:tc>
          <w:tcPr>
            <w:tcW w:w="2977" w:type="dxa"/>
          </w:tcPr>
          <w:p w14:paraId="7617F3E6"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7">
              <w:r>
                <w:rPr>
                  <w:rFonts w:ascii="Arial" w:eastAsia="Arial" w:hAnsi="Arial" w:cs="Arial"/>
                  <w:color w:val="000000"/>
                  <w:sz w:val="24"/>
                  <w:szCs w:val="24"/>
                </w:rPr>
                <w:t>www.icontec.org.co</w:t>
              </w:r>
            </w:hyperlink>
          </w:p>
        </w:tc>
      </w:tr>
      <w:tr w:rsidR="00572AD5" w14:paraId="36F71962" w14:textId="77777777">
        <w:trPr>
          <w:trHeight w:val="273"/>
          <w:jc w:val="center"/>
        </w:trPr>
        <w:tc>
          <w:tcPr>
            <w:tcW w:w="5812" w:type="dxa"/>
          </w:tcPr>
          <w:p w14:paraId="3A107831"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ICPC, Instituto Colombiano De Productores De Cemento</w:t>
            </w:r>
          </w:p>
        </w:tc>
        <w:tc>
          <w:tcPr>
            <w:tcW w:w="2977" w:type="dxa"/>
          </w:tcPr>
          <w:p w14:paraId="24DFC0E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8">
              <w:r>
                <w:rPr>
                  <w:rFonts w:ascii="Arial" w:eastAsia="Arial" w:hAnsi="Arial" w:cs="Arial"/>
                  <w:color w:val="000000"/>
                  <w:sz w:val="24"/>
                  <w:szCs w:val="24"/>
                </w:rPr>
                <w:t>www.icpc.org.co</w:t>
              </w:r>
            </w:hyperlink>
          </w:p>
        </w:tc>
      </w:tr>
      <w:tr w:rsidR="00572AD5" w14:paraId="24267B6B" w14:textId="77777777">
        <w:trPr>
          <w:trHeight w:val="273"/>
          <w:jc w:val="center"/>
        </w:trPr>
        <w:tc>
          <w:tcPr>
            <w:tcW w:w="5812" w:type="dxa"/>
          </w:tcPr>
          <w:p w14:paraId="40958D6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IDU, Instituto de Desarrollo Urbano</w:t>
            </w:r>
          </w:p>
        </w:tc>
        <w:tc>
          <w:tcPr>
            <w:tcW w:w="2977" w:type="dxa"/>
          </w:tcPr>
          <w:p w14:paraId="445FA414"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49">
              <w:r>
                <w:rPr>
                  <w:rFonts w:ascii="Arial" w:eastAsia="Arial" w:hAnsi="Arial" w:cs="Arial"/>
                  <w:color w:val="000000"/>
                  <w:sz w:val="24"/>
                  <w:szCs w:val="24"/>
                </w:rPr>
                <w:t>www.idu.gov.co</w:t>
              </w:r>
            </w:hyperlink>
          </w:p>
        </w:tc>
      </w:tr>
      <w:tr w:rsidR="00572AD5" w14:paraId="375B4BDB" w14:textId="77777777">
        <w:trPr>
          <w:trHeight w:val="256"/>
          <w:jc w:val="center"/>
        </w:trPr>
        <w:tc>
          <w:tcPr>
            <w:tcW w:w="5812" w:type="dxa"/>
          </w:tcPr>
          <w:p w14:paraId="73597DC7"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IGAC, Instituto Geográfico Agustín Codazzi</w:t>
            </w:r>
          </w:p>
        </w:tc>
        <w:tc>
          <w:tcPr>
            <w:tcW w:w="2977" w:type="dxa"/>
          </w:tcPr>
          <w:p w14:paraId="4B3B273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0">
              <w:r>
                <w:rPr>
                  <w:rFonts w:ascii="Arial" w:eastAsia="Arial" w:hAnsi="Arial" w:cs="Arial"/>
                  <w:color w:val="000000"/>
                  <w:sz w:val="24"/>
                  <w:szCs w:val="24"/>
                </w:rPr>
                <w:t>www.igac.gov.co</w:t>
              </w:r>
            </w:hyperlink>
          </w:p>
        </w:tc>
      </w:tr>
      <w:tr w:rsidR="00572AD5" w14:paraId="73BBFD61" w14:textId="77777777">
        <w:trPr>
          <w:trHeight w:val="270"/>
          <w:jc w:val="center"/>
        </w:trPr>
        <w:tc>
          <w:tcPr>
            <w:tcW w:w="5812" w:type="dxa"/>
          </w:tcPr>
          <w:p w14:paraId="4479EE3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INVÍAS, Instituto Nacional de Vías</w:t>
            </w:r>
          </w:p>
        </w:tc>
        <w:tc>
          <w:tcPr>
            <w:tcW w:w="2977" w:type="dxa"/>
          </w:tcPr>
          <w:p w14:paraId="14B4B622"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1">
              <w:r>
                <w:rPr>
                  <w:rFonts w:ascii="Arial" w:eastAsia="Arial" w:hAnsi="Arial" w:cs="Arial"/>
                  <w:color w:val="000000"/>
                  <w:sz w:val="24"/>
                  <w:szCs w:val="24"/>
                </w:rPr>
                <w:t>www.invias.gov.co</w:t>
              </w:r>
            </w:hyperlink>
          </w:p>
        </w:tc>
      </w:tr>
      <w:tr w:rsidR="00572AD5" w14:paraId="6E131188" w14:textId="77777777">
        <w:trPr>
          <w:trHeight w:val="273"/>
          <w:jc w:val="center"/>
        </w:trPr>
        <w:tc>
          <w:tcPr>
            <w:tcW w:w="5812" w:type="dxa"/>
          </w:tcPr>
          <w:p w14:paraId="0DF479F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Salle, Universidad de La Salle</w:t>
            </w:r>
          </w:p>
        </w:tc>
        <w:tc>
          <w:tcPr>
            <w:tcW w:w="2977" w:type="dxa"/>
          </w:tcPr>
          <w:p w14:paraId="76F69DDD"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2">
              <w:r>
                <w:rPr>
                  <w:rFonts w:ascii="Arial" w:eastAsia="Arial" w:hAnsi="Arial" w:cs="Arial"/>
                  <w:color w:val="000000"/>
                  <w:sz w:val="24"/>
                  <w:szCs w:val="24"/>
                </w:rPr>
                <w:t>www.lasalle.edu.co</w:t>
              </w:r>
            </w:hyperlink>
          </w:p>
        </w:tc>
      </w:tr>
      <w:tr w:rsidR="00572AD5" w14:paraId="71A5915B" w14:textId="77777777">
        <w:trPr>
          <w:trHeight w:val="273"/>
          <w:jc w:val="center"/>
        </w:trPr>
        <w:tc>
          <w:tcPr>
            <w:tcW w:w="5812" w:type="dxa"/>
          </w:tcPr>
          <w:p w14:paraId="6C947E1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METROVIVIENDA</w:t>
            </w:r>
          </w:p>
        </w:tc>
        <w:tc>
          <w:tcPr>
            <w:tcW w:w="2977" w:type="dxa"/>
          </w:tcPr>
          <w:p w14:paraId="17B764E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3">
              <w:r>
                <w:rPr>
                  <w:rFonts w:ascii="Arial" w:eastAsia="Arial" w:hAnsi="Arial" w:cs="Arial"/>
                  <w:color w:val="000000"/>
                  <w:sz w:val="24"/>
                  <w:szCs w:val="24"/>
                </w:rPr>
                <w:t>www.metrovivienda.gov.co</w:t>
              </w:r>
            </w:hyperlink>
          </w:p>
        </w:tc>
      </w:tr>
      <w:tr w:rsidR="00572AD5" w14:paraId="57B7F365" w14:textId="77777777">
        <w:trPr>
          <w:trHeight w:val="256"/>
          <w:jc w:val="center"/>
        </w:trPr>
        <w:tc>
          <w:tcPr>
            <w:tcW w:w="5812" w:type="dxa"/>
          </w:tcPr>
          <w:p w14:paraId="77C641CC"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SCA, Sociedad Colombiana De Arquitectos</w:t>
            </w:r>
          </w:p>
        </w:tc>
        <w:tc>
          <w:tcPr>
            <w:tcW w:w="2977" w:type="dxa"/>
          </w:tcPr>
          <w:p w14:paraId="0BD72520"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4">
              <w:r>
                <w:rPr>
                  <w:rFonts w:ascii="Arial" w:eastAsia="Arial" w:hAnsi="Arial" w:cs="Arial"/>
                  <w:color w:val="000000"/>
                  <w:sz w:val="24"/>
                  <w:szCs w:val="24"/>
                </w:rPr>
                <w:t>www.arguitecturacolombiana.com</w:t>
              </w:r>
            </w:hyperlink>
          </w:p>
        </w:tc>
      </w:tr>
      <w:tr w:rsidR="00572AD5" w14:paraId="6EE50507" w14:textId="77777777">
        <w:trPr>
          <w:trHeight w:val="273"/>
          <w:jc w:val="center"/>
        </w:trPr>
        <w:tc>
          <w:tcPr>
            <w:tcW w:w="5812" w:type="dxa"/>
          </w:tcPr>
          <w:p w14:paraId="4701616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SCI, Sociedad Colombiana De Ingenieros</w:t>
            </w:r>
          </w:p>
        </w:tc>
        <w:tc>
          <w:tcPr>
            <w:tcW w:w="2977" w:type="dxa"/>
          </w:tcPr>
          <w:p w14:paraId="1B03767B"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hyperlink r:id="rId55">
              <w:r>
                <w:rPr>
                  <w:rFonts w:ascii="Arial" w:eastAsia="Arial" w:hAnsi="Arial" w:cs="Arial"/>
                  <w:color w:val="000000"/>
                  <w:sz w:val="24"/>
                  <w:szCs w:val="24"/>
                </w:rPr>
                <w:t>www.sci.org.co</w:t>
              </w:r>
            </w:hyperlink>
          </w:p>
        </w:tc>
      </w:tr>
      <w:tr w:rsidR="00572AD5" w14:paraId="4CF48173" w14:textId="77777777">
        <w:trPr>
          <w:trHeight w:val="273"/>
          <w:jc w:val="center"/>
        </w:trPr>
        <w:tc>
          <w:tcPr>
            <w:tcW w:w="5812" w:type="dxa"/>
          </w:tcPr>
          <w:p w14:paraId="62FECE2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UPME, Unidad de Planeación Minero Energético</w:t>
            </w:r>
          </w:p>
        </w:tc>
        <w:tc>
          <w:tcPr>
            <w:tcW w:w="2977" w:type="dxa"/>
          </w:tcPr>
          <w:p w14:paraId="6437D50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ww.upme.gov.co</w:t>
            </w:r>
          </w:p>
        </w:tc>
      </w:tr>
    </w:tbl>
    <w:p w14:paraId="5B17080B" w14:textId="77777777" w:rsidR="00572AD5" w:rsidRDefault="00572AD5">
      <w:pPr>
        <w:ind w:right="74"/>
        <w:jc w:val="both"/>
        <w:rPr>
          <w:rFonts w:ascii="Arial" w:eastAsia="Arial" w:hAnsi="Arial" w:cs="Arial"/>
          <w:b/>
          <w:sz w:val="22"/>
          <w:szCs w:val="22"/>
        </w:rPr>
      </w:pPr>
    </w:p>
    <w:p w14:paraId="1D9C8416" w14:textId="77777777" w:rsidR="00572AD5" w:rsidRDefault="00000000" w:rsidP="002C6D1E">
      <w:pPr>
        <w:numPr>
          <w:ilvl w:val="0"/>
          <w:numId w:val="27"/>
        </w:numPr>
        <w:pBdr>
          <w:top w:val="nil"/>
          <w:left w:val="nil"/>
          <w:bottom w:val="nil"/>
          <w:right w:val="nil"/>
          <w:between w:val="nil"/>
        </w:pBdr>
        <w:spacing w:after="200" w:line="276" w:lineRule="auto"/>
        <w:ind w:right="74"/>
        <w:jc w:val="both"/>
        <w:rPr>
          <w:rFonts w:ascii="Arial" w:eastAsia="Arial" w:hAnsi="Arial" w:cs="Arial"/>
          <w:b/>
          <w:color w:val="000000"/>
          <w:sz w:val="22"/>
          <w:szCs w:val="22"/>
        </w:rPr>
      </w:pPr>
      <w:r>
        <w:rPr>
          <w:rFonts w:ascii="Arial" w:eastAsia="Arial" w:hAnsi="Arial" w:cs="Arial"/>
          <w:b/>
          <w:color w:val="000000"/>
          <w:sz w:val="22"/>
          <w:szCs w:val="22"/>
        </w:rPr>
        <w:t>ANÁLISIS DE LA MODALIDAD DE CONTRATACIÓN DEL PRESENTE OBJETO CONTRACTUAL</w:t>
      </w:r>
    </w:p>
    <w:p w14:paraId="1883FDA9" w14:textId="77777777" w:rsidR="00572AD5" w:rsidRDefault="00000000">
      <w:pPr>
        <w:ind w:right="74"/>
        <w:jc w:val="both"/>
        <w:rPr>
          <w:rFonts w:ascii="Arial" w:eastAsia="Arial" w:hAnsi="Arial" w:cs="Arial"/>
          <w:sz w:val="22"/>
          <w:szCs w:val="22"/>
        </w:rPr>
      </w:pPr>
      <w:r>
        <w:rPr>
          <w:rFonts w:ascii="Arial" w:eastAsia="Arial" w:hAnsi="Arial" w:cs="Arial"/>
          <w:sz w:val="22"/>
          <w:szCs w:val="22"/>
        </w:rPr>
        <w:t>La Entidad identificó que la necesidad puede ser satisfecha por persona natural o jurídica que cumpla con los requisitos exigidos en el Estudio Previo y que ofrezca las condiciones técnicas, legales, financieras y demás dentro del proceso de Selección Abreviada de Menor, para cumplimiento del objeto contractual.</w:t>
      </w:r>
    </w:p>
    <w:p w14:paraId="1AA702AE" w14:textId="77777777" w:rsidR="00572AD5" w:rsidRDefault="00572AD5">
      <w:pPr>
        <w:ind w:right="74"/>
        <w:jc w:val="both"/>
        <w:rPr>
          <w:rFonts w:ascii="Arial" w:eastAsia="Arial" w:hAnsi="Arial" w:cs="Arial"/>
          <w:sz w:val="22"/>
          <w:szCs w:val="22"/>
        </w:rPr>
      </w:pPr>
    </w:p>
    <w:p w14:paraId="141E8F3A" w14:textId="0A30A20B" w:rsidR="00572AD5" w:rsidRDefault="00000000">
      <w:pPr>
        <w:spacing w:after="120"/>
        <w:jc w:val="both"/>
        <w:rPr>
          <w:rFonts w:ascii="Arial" w:eastAsia="Arial" w:hAnsi="Arial" w:cs="Arial"/>
          <w:color w:val="000000"/>
          <w:sz w:val="22"/>
          <w:szCs w:val="22"/>
        </w:rPr>
      </w:pPr>
      <w:r>
        <w:rPr>
          <w:rFonts w:ascii="Arial" w:eastAsia="Arial" w:hAnsi="Arial" w:cs="Arial"/>
          <w:color w:val="000000"/>
          <w:sz w:val="22"/>
          <w:szCs w:val="22"/>
        </w:rPr>
        <w:t xml:space="preserve">El objeto que se requiere contratar corresponde a </w:t>
      </w:r>
      <w:r w:rsidR="00214287" w:rsidRPr="00222747">
        <w:rPr>
          <w:rFonts w:ascii="Arial" w:eastAsia="Arial" w:hAnsi="Arial" w:cs="Arial"/>
          <w:b/>
          <w:sz w:val="22"/>
          <w:szCs w:val="22"/>
        </w:rPr>
        <w:t>“CONTRATAR LA COMPRA DE EQUIPOS, MÁQUINAS Y MOBILIARIO PARA EL GIMNASIO Y LOS AMBIENTES DEL CENTRO DE CONVIVENCIA DEL CENTRO AGROPECUARIO LA GRANJA, UBICADO EN EL ESPINAL, CON EL PROPÓSITO DE FORTALECER LAS CONDICIONES DE BIENESTAR AL APRENDIZ, PARA LA VIGENCIA 2025”</w:t>
      </w:r>
      <w:r>
        <w:rPr>
          <w:rFonts w:ascii="Arial" w:eastAsia="Arial" w:hAnsi="Arial" w:cs="Arial"/>
          <w:i/>
          <w:color w:val="000000"/>
          <w:sz w:val="22"/>
          <w:szCs w:val="22"/>
        </w:rPr>
        <w:t xml:space="preserve">, </w:t>
      </w:r>
      <w:r>
        <w:rPr>
          <w:rFonts w:ascii="Arial" w:eastAsia="Arial" w:hAnsi="Arial" w:cs="Arial"/>
          <w:color w:val="000000"/>
          <w:sz w:val="22"/>
          <w:szCs w:val="22"/>
        </w:rPr>
        <w:t xml:space="preserve">por ende la escogencia debe efectuarse a través de la modalidad de </w:t>
      </w:r>
      <w:r>
        <w:rPr>
          <w:rFonts w:ascii="Arial" w:eastAsia="Arial" w:hAnsi="Arial" w:cs="Arial"/>
          <w:b/>
          <w:color w:val="000000"/>
          <w:sz w:val="22"/>
          <w:szCs w:val="22"/>
        </w:rPr>
        <w:t>Selección Abreviada de Menor Cuantía</w:t>
      </w:r>
      <w:r>
        <w:rPr>
          <w:rFonts w:ascii="Arial" w:eastAsia="Arial" w:hAnsi="Arial" w:cs="Arial"/>
          <w:color w:val="000000"/>
          <w:sz w:val="22"/>
          <w:szCs w:val="22"/>
        </w:rPr>
        <w:t>, con base en las características especiales del objeto a contratar, su naturaleza,  y los factores de calificación que afectaran la evaluación de las propuestas en el desarrollo del referido proceso, conforme a los fundamentos legales establecidos a continuación:</w:t>
      </w:r>
    </w:p>
    <w:p w14:paraId="73695884" w14:textId="77777777" w:rsidR="00572AD5" w:rsidRDefault="00572AD5">
      <w:pPr>
        <w:jc w:val="both"/>
        <w:rPr>
          <w:rFonts w:ascii="Arial" w:eastAsia="Arial" w:hAnsi="Arial" w:cs="Arial"/>
          <w:color w:val="000000"/>
          <w:sz w:val="22"/>
          <w:szCs w:val="22"/>
        </w:rPr>
      </w:pPr>
    </w:p>
    <w:p w14:paraId="2B75C5DA"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El Artículo 2° de la Constitución Política de Colombia establece: "</w:t>
      </w:r>
      <w:r>
        <w:rPr>
          <w:rFonts w:ascii="Arial" w:eastAsia="Arial" w:hAnsi="Arial" w:cs="Arial"/>
          <w:i/>
          <w:color w:val="000000"/>
          <w:sz w:val="22"/>
          <w:szCs w:val="22"/>
        </w:rPr>
        <w:t>Son fines esenciales del Estado: servir a la comunidad, promover la prosperidad general y garantizar la efectividad de los principios, derechos y deberes consagrados en la Constitución (…)".</w:t>
      </w:r>
      <w:r>
        <w:rPr>
          <w:rFonts w:ascii="Arial" w:eastAsia="Arial" w:hAnsi="Arial" w:cs="Arial"/>
          <w:color w:val="000000"/>
          <w:sz w:val="22"/>
          <w:szCs w:val="22"/>
        </w:rPr>
        <w:t xml:space="preserve"> </w:t>
      </w:r>
    </w:p>
    <w:p w14:paraId="60340673" w14:textId="77777777" w:rsidR="00572AD5" w:rsidRDefault="00572AD5">
      <w:pPr>
        <w:jc w:val="both"/>
        <w:rPr>
          <w:rFonts w:ascii="Arial" w:eastAsia="Arial" w:hAnsi="Arial" w:cs="Arial"/>
          <w:color w:val="000000"/>
          <w:sz w:val="22"/>
          <w:szCs w:val="22"/>
        </w:rPr>
      </w:pPr>
    </w:p>
    <w:p w14:paraId="46E843D7"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El artículo 3° de la Ley 80 de 1993</w:t>
      </w:r>
      <w:r>
        <w:rPr>
          <w:rFonts w:ascii="Arial" w:eastAsia="Arial" w:hAnsi="Arial" w:cs="Arial"/>
          <w:i/>
          <w:color w:val="000000"/>
          <w:sz w:val="22"/>
          <w:szCs w:val="22"/>
        </w:rPr>
        <w:t>, "Los servidores públicos tendrán en consideración que al celebrar contratos y con la ejecución de los mismos, las entidades buscan el cumplimiento de los fines estatales, la continua y eficiente prestación de los servicios públicos y la efectividad de los derechos e intereses de los administrados que colaboran con ellas en la consecución de dichos fines".</w:t>
      </w:r>
      <w:r>
        <w:rPr>
          <w:rFonts w:ascii="Arial" w:eastAsia="Arial" w:hAnsi="Arial" w:cs="Arial"/>
          <w:color w:val="000000"/>
          <w:sz w:val="22"/>
          <w:szCs w:val="22"/>
        </w:rPr>
        <w:t xml:space="preserve"> </w:t>
      </w:r>
    </w:p>
    <w:p w14:paraId="577F75AE" w14:textId="77777777" w:rsidR="00572AD5" w:rsidRDefault="00572AD5">
      <w:pPr>
        <w:jc w:val="both"/>
        <w:rPr>
          <w:rFonts w:ascii="Arial" w:eastAsia="Arial" w:hAnsi="Arial" w:cs="Arial"/>
          <w:color w:val="000000"/>
          <w:sz w:val="22"/>
          <w:szCs w:val="22"/>
        </w:rPr>
      </w:pPr>
    </w:p>
    <w:p w14:paraId="4FD2879A"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El artículo 40 de la ley 80 de 1993, las Entidades Estatales pueden incluir en los Contratos que celebren, las modalidades, condiciones, y en general las cláusulas o estipulaciones que consideren necesarias y convenientes, siempre que no sean contrarias a la Constitución, la ley, el orden público y las buenas costumbres para lograr el cumplimiento de los fines estatales. </w:t>
      </w:r>
    </w:p>
    <w:p w14:paraId="5AA8EE4B" w14:textId="77777777" w:rsidR="00572AD5" w:rsidRDefault="00572AD5">
      <w:pPr>
        <w:jc w:val="both"/>
        <w:rPr>
          <w:rFonts w:ascii="Arial" w:eastAsia="Arial" w:hAnsi="Arial" w:cs="Arial"/>
          <w:color w:val="000000"/>
          <w:sz w:val="22"/>
          <w:szCs w:val="22"/>
        </w:rPr>
      </w:pPr>
    </w:p>
    <w:p w14:paraId="1DCA9ACD"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El Decreto 1082 de 2015, reglamentario de la Ley 1150 de 2007, a su vez reglamentario de la Ley 80 de 1993, establecen como una de las modalidades de selección la Selección Abreviada, procedimiento a través del cual las entidades públicas deben realizar la selección objetiva para escoger el contratista que le coadyuvara en el cumplimiento de los fines estatales. </w:t>
      </w:r>
    </w:p>
    <w:p w14:paraId="00A15F00" w14:textId="77777777" w:rsidR="00572AD5" w:rsidRDefault="00572AD5">
      <w:pPr>
        <w:jc w:val="both"/>
        <w:rPr>
          <w:rFonts w:ascii="Arial" w:eastAsia="Arial" w:hAnsi="Arial" w:cs="Arial"/>
          <w:color w:val="000000"/>
          <w:sz w:val="22"/>
          <w:szCs w:val="22"/>
        </w:rPr>
      </w:pPr>
    </w:p>
    <w:p w14:paraId="49C64323"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Artículo 2°. Ley 1150 modificada por la Ley 1474. De las modalidades de selección. La escogencia del contratista se efectuará con arreglo a las modalidades de selección de Selección Abreviada, Licitación Pública, Concurso de Méritos y Contratación Directa, con base en las siguientes reglas: </w:t>
      </w:r>
    </w:p>
    <w:p w14:paraId="560A8223" w14:textId="77777777" w:rsidR="00572AD5" w:rsidRDefault="00572AD5">
      <w:pPr>
        <w:jc w:val="both"/>
        <w:rPr>
          <w:rFonts w:ascii="Arial" w:eastAsia="Arial" w:hAnsi="Arial" w:cs="Arial"/>
          <w:i/>
          <w:color w:val="000000"/>
          <w:sz w:val="22"/>
          <w:szCs w:val="22"/>
        </w:rPr>
      </w:pPr>
    </w:p>
    <w:p w14:paraId="6C2F57A6" w14:textId="77777777" w:rsidR="00572AD5" w:rsidRDefault="00000000">
      <w:pPr>
        <w:ind w:left="119"/>
        <w:jc w:val="both"/>
        <w:rPr>
          <w:rFonts w:ascii="Arial" w:eastAsia="Arial" w:hAnsi="Arial" w:cs="Arial"/>
          <w:i/>
          <w:color w:val="000000"/>
          <w:sz w:val="22"/>
          <w:szCs w:val="22"/>
        </w:rPr>
      </w:pPr>
      <w:r>
        <w:rPr>
          <w:rFonts w:ascii="Arial" w:eastAsia="Arial" w:hAnsi="Arial" w:cs="Arial"/>
          <w:i/>
          <w:color w:val="000000"/>
          <w:sz w:val="22"/>
          <w:szCs w:val="22"/>
        </w:rPr>
        <w:t xml:space="preserve">La Selección Abreviada corresponde a la modalidad de selección objetiva prevista para aquellos casos en que, por las características del objeto a contratar, las circunstancias de la contratación o </w:t>
      </w:r>
      <w:proofErr w:type="gramStart"/>
      <w:r>
        <w:rPr>
          <w:rFonts w:ascii="Arial" w:eastAsia="Arial" w:hAnsi="Arial" w:cs="Arial"/>
          <w:i/>
          <w:color w:val="000000"/>
          <w:sz w:val="22"/>
          <w:szCs w:val="22"/>
        </w:rPr>
        <w:t>la  o</w:t>
      </w:r>
      <w:proofErr w:type="gramEnd"/>
      <w:r>
        <w:rPr>
          <w:rFonts w:ascii="Arial" w:eastAsia="Arial" w:hAnsi="Arial" w:cs="Arial"/>
          <w:i/>
          <w:color w:val="000000"/>
          <w:sz w:val="22"/>
          <w:szCs w:val="22"/>
        </w:rPr>
        <w:t xml:space="preserve"> destinación del bien, obra o servicio, puedan adelantarse procesos simplificados para garantizar la eficiencia de la gestión contractual.</w:t>
      </w:r>
    </w:p>
    <w:p w14:paraId="6F425A76" w14:textId="77777777" w:rsidR="00572AD5" w:rsidRDefault="00572AD5">
      <w:pPr>
        <w:jc w:val="both"/>
        <w:rPr>
          <w:rFonts w:ascii="Arial" w:eastAsia="Arial" w:hAnsi="Arial" w:cs="Arial"/>
          <w:color w:val="000000"/>
          <w:sz w:val="22"/>
          <w:szCs w:val="22"/>
        </w:rPr>
      </w:pPr>
    </w:p>
    <w:p w14:paraId="5F955514"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Descripción de los criterios de selección de propuestas teniendo en cuenta en primer lugar los requisitos jurídicos, financieros y técnicos, para en segundo lugar continuar con los criterios de calificación de las propuestas. </w:t>
      </w:r>
    </w:p>
    <w:p w14:paraId="7EEDD5F9" w14:textId="77777777" w:rsidR="00572AD5" w:rsidRDefault="00572AD5">
      <w:pPr>
        <w:jc w:val="both"/>
        <w:rPr>
          <w:rFonts w:ascii="Arial" w:eastAsia="Arial" w:hAnsi="Arial" w:cs="Arial"/>
          <w:color w:val="000000"/>
          <w:sz w:val="22"/>
          <w:szCs w:val="22"/>
        </w:rPr>
      </w:pPr>
    </w:p>
    <w:p w14:paraId="0536BF60"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En cualquiera de las modalidades de presentación, los proponentes deberán dar cumplimiento a los siguientes requisitos: </w:t>
      </w:r>
    </w:p>
    <w:p w14:paraId="20587A8D" w14:textId="77777777" w:rsidR="00572AD5" w:rsidRDefault="00572AD5">
      <w:pPr>
        <w:jc w:val="both"/>
        <w:rPr>
          <w:rFonts w:ascii="Arial" w:eastAsia="Arial" w:hAnsi="Arial" w:cs="Arial"/>
          <w:color w:val="000000"/>
          <w:sz w:val="22"/>
          <w:szCs w:val="22"/>
        </w:rPr>
      </w:pPr>
    </w:p>
    <w:p w14:paraId="7D62414B"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Tener capacidad jurídica para la presentación de la propuesta. </w:t>
      </w:r>
    </w:p>
    <w:p w14:paraId="3D6FE4CA"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Tener capacidad jurídica para la celebración y ejecución del contrato. </w:t>
      </w:r>
    </w:p>
    <w:p w14:paraId="08A8EDAE"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No estar incursos en ninguna de las causales de inhabilidad o incompatibilidad previstas en la legislación contractual. </w:t>
      </w:r>
    </w:p>
    <w:p w14:paraId="53B2ECF3"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No estar reportado en el último Boletín de </w:t>
      </w:r>
      <w:proofErr w:type="gramStart"/>
      <w:r>
        <w:rPr>
          <w:rFonts w:ascii="Arial" w:eastAsia="Arial" w:hAnsi="Arial" w:cs="Arial"/>
          <w:color w:val="000000"/>
          <w:sz w:val="22"/>
          <w:szCs w:val="22"/>
        </w:rPr>
        <w:t>Responsables</w:t>
      </w:r>
      <w:proofErr w:type="gramEnd"/>
      <w:r>
        <w:rPr>
          <w:rFonts w:ascii="Arial" w:eastAsia="Arial" w:hAnsi="Arial" w:cs="Arial"/>
          <w:color w:val="000000"/>
          <w:sz w:val="22"/>
          <w:szCs w:val="22"/>
        </w:rPr>
        <w:t xml:space="preserve"> Fiscales expedido por la Contraloría General de la República; este requisito deberá acreditarse además para la suscripción del contrato. </w:t>
      </w:r>
    </w:p>
    <w:p w14:paraId="1238FDB9" w14:textId="77777777" w:rsidR="00572AD5" w:rsidRDefault="00572AD5">
      <w:pPr>
        <w:ind w:left="119" w:right="74"/>
        <w:jc w:val="both"/>
        <w:rPr>
          <w:rFonts w:ascii="Arial" w:eastAsia="Arial" w:hAnsi="Arial" w:cs="Arial"/>
          <w:sz w:val="22"/>
          <w:szCs w:val="22"/>
        </w:rPr>
      </w:pPr>
    </w:p>
    <w:p w14:paraId="2F6A54B6" w14:textId="77777777" w:rsidR="00572AD5" w:rsidRDefault="00000000">
      <w:pPr>
        <w:ind w:left="142" w:right="74"/>
        <w:jc w:val="both"/>
        <w:rPr>
          <w:rFonts w:ascii="Arial" w:eastAsia="Arial" w:hAnsi="Arial" w:cs="Arial"/>
          <w:sz w:val="22"/>
          <w:szCs w:val="22"/>
        </w:rPr>
      </w:pPr>
      <w:r>
        <w:rPr>
          <w:rFonts w:ascii="Arial" w:eastAsia="Arial" w:hAnsi="Arial" w:cs="Arial"/>
          <w:sz w:val="22"/>
          <w:szCs w:val="22"/>
        </w:rPr>
        <w:lastRenderedPageBreak/>
        <w:t>Se identificó los proveedores locales en el mercado que ejecutan obras, adecuaciones y mantenimiento de instalaciones, en donde algunos de ellos han participado como oferentes y contratistas en Procesos de Contratación con Entidades Estatales y empresas privadas. Para el efecto es recomendable utilizar bases de datos e información del Sistema de Información y Riesgo Empresarial (SIREM).</w:t>
      </w:r>
    </w:p>
    <w:p w14:paraId="1D408DEE" w14:textId="77777777" w:rsidR="00572AD5" w:rsidRDefault="00572AD5">
      <w:pPr>
        <w:ind w:left="142" w:right="74"/>
        <w:jc w:val="both"/>
        <w:rPr>
          <w:rFonts w:ascii="Arial" w:eastAsia="Arial" w:hAnsi="Arial" w:cs="Arial"/>
        </w:rPr>
      </w:pPr>
    </w:p>
    <w:p w14:paraId="5091A5B2" w14:textId="77777777" w:rsidR="00572AD5" w:rsidRDefault="00000000" w:rsidP="002C6D1E">
      <w:pPr>
        <w:numPr>
          <w:ilvl w:val="0"/>
          <w:numId w:val="27"/>
        </w:numPr>
        <w:pBdr>
          <w:top w:val="nil"/>
          <w:left w:val="nil"/>
          <w:bottom w:val="nil"/>
          <w:right w:val="nil"/>
          <w:between w:val="nil"/>
        </w:pBdr>
        <w:spacing w:after="200" w:line="276" w:lineRule="auto"/>
        <w:rPr>
          <w:rFonts w:ascii="Arial" w:eastAsia="Arial" w:hAnsi="Arial" w:cs="Arial"/>
          <w:b/>
          <w:color w:val="000000"/>
          <w:sz w:val="22"/>
          <w:szCs w:val="22"/>
        </w:rPr>
      </w:pPr>
      <w:r>
        <w:rPr>
          <w:rFonts w:ascii="Arial" w:eastAsia="Arial" w:hAnsi="Arial" w:cs="Arial"/>
          <w:b/>
          <w:color w:val="000000"/>
          <w:sz w:val="22"/>
          <w:szCs w:val="22"/>
        </w:rPr>
        <w:t>ESTUDIO DE MERCADO</w:t>
      </w:r>
    </w:p>
    <w:p w14:paraId="7E8E8D61" w14:textId="51749A6A" w:rsidR="00572AD5" w:rsidRDefault="00000000">
      <w:pPr>
        <w:pBdr>
          <w:top w:val="nil"/>
          <w:left w:val="nil"/>
          <w:bottom w:val="nil"/>
          <w:right w:val="nil"/>
          <w:between w:val="nil"/>
        </w:pBdr>
        <w:spacing w:line="276" w:lineRule="auto"/>
        <w:jc w:val="both"/>
        <w:rPr>
          <w:rFonts w:ascii="Arial" w:eastAsia="Arial" w:hAnsi="Arial" w:cs="Arial"/>
          <w:color w:val="000000"/>
          <w:sz w:val="22"/>
          <w:szCs w:val="22"/>
        </w:rPr>
      </w:pPr>
      <w:bookmarkStart w:id="4" w:name="_7qjx4ct5dhyc" w:colFirst="0" w:colLast="0"/>
      <w:bookmarkEnd w:id="4"/>
      <w:r>
        <w:rPr>
          <w:rFonts w:ascii="Arial" w:eastAsia="Arial" w:hAnsi="Arial" w:cs="Arial"/>
          <w:color w:val="000000"/>
          <w:sz w:val="22"/>
          <w:szCs w:val="22"/>
        </w:rPr>
        <w:t xml:space="preserve">Para identificar el precio del servicio a contratar se solicitó cotización dentro de los posibles oferentes que puedan cubrir la necesidad señalada, se publicó en el SECOP II el proceso de </w:t>
      </w:r>
      <w:r>
        <w:rPr>
          <w:rFonts w:ascii="Arial" w:eastAsia="Arial" w:hAnsi="Arial" w:cs="Arial"/>
          <w:sz w:val="22"/>
          <w:szCs w:val="22"/>
        </w:rPr>
        <w:t>PRECOTIZACION-CALG-04</w:t>
      </w:r>
      <w:r w:rsidR="00214287">
        <w:rPr>
          <w:rFonts w:ascii="Arial" w:eastAsia="Arial" w:hAnsi="Arial" w:cs="Arial"/>
          <w:sz w:val="22"/>
          <w:szCs w:val="22"/>
        </w:rPr>
        <w:t>5</w:t>
      </w:r>
      <w:r>
        <w:rPr>
          <w:rFonts w:ascii="Arial" w:eastAsia="Arial" w:hAnsi="Arial" w:cs="Arial"/>
          <w:sz w:val="22"/>
          <w:szCs w:val="22"/>
        </w:rPr>
        <w:t>-2025</w:t>
      </w:r>
      <w:r>
        <w:rPr>
          <w:rFonts w:ascii="Arial" w:eastAsia="Arial" w:hAnsi="Arial" w:cs="Arial"/>
          <w:sz w:val="22"/>
          <w:szCs w:val="22"/>
          <w:highlight w:val="white"/>
        </w:rPr>
        <w:t xml:space="preserve">, </w:t>
      </w:r>
      <w:r>
        <w:rPr>
          <w:rFonts w:ascii="Arial" w:eastAsia="Arial" w:hAnsi="Arial" w:cs="Arial"/>
          <w:sz w:val="22"/>
          <w:szCs w:val="22"/>
        </w:rPr>
        <w:t xml:space="preserve">por el termino de </w:t>
      </w:r>
      <w:r>
        <w:rPr>
          <w:rFonts w:ascii="Arial" w:eastAsia="Arial" w:hAnsi="Arial" w:cs="Arial"/>
          <w:color w:val="000000"/>
          <w:sz w:val="22"/>
          <w:szCs w:val="22"/>
        </w:rPr>
        <w:t>tres días hábiles que una vez finalizados se obtuv</w:t>
      </w:r>
      <w:r w:rsidR="0087646A">
        <w:rPr>
          <w:rFonts w:ascii="Arial" w:eastAsia="Arial" w:hAnsi="Arial" w:cs="Arial"/>
          <w:color w:val="000000"/>
          <w:sz w:val="22"/>
          <w:szCs w:val="22"/>
        </w:rPr>
        <w:t xml:space="preserve">o </w:t>
      </w:r>
      <w:r w:rsidR="0087646A" w:rsidRPr="0087646A">
        <w:rPr>
          <w:rFonts w:ascii="Arial" w:eastAsia="Arial" w:hAnsi="Arial" w:cs="Arial"/>
          <w:b/>
          <w:bCs/>
          <w:color w:val="000000"/>
          <w:sz w:val="22"/>
          <w:szCs w:val="22"/>
        </w:rPr>
        <w:t xml:space="preserve">una </w:t>
      </w:r>
      <w:r w:rsidRPr="0087646A">
        <w:rPr>
          <w:rFonts w:ascii="Arial" w:eastAsia="Arial" w:hAnsi="Arial" w:cs="Arial"/>
          <w:b/>
          <w:bCs/>
          <w:color w:val="000000"/>
          <w:sz w:val="22"/>
          <w:szCs w:val="22"/>
        </w:rPr>
        <w:t>cotizaci</w:t>
      </w:r>
      <w:r w:rsidR="0087646A" w:rsidRPr="0087646A">
        <w:rPr>
          <w:rFonts w:ascii="Arial" w:eastAsia="Arial" w:hAnsi="Arial" w:cs="Arial"/>
          <w:b/>
          <w:bCs/>
          <w:color w:val="000000"/>
          <w:sz w:val="22"/>
          <w:szCs w:val="22"/>
        </w:rPr>
        <w:t>ón</w:t>
      </w:r>
      <w:r>
        <w:rPr>
          <w:rFonts w:ascii="Arial" w:eastAsia="Arial" w:hAnsi="Arial" w:cs="Arial"/>
          <w:color w:val="000000"/>
          <w:sz w:val="22"/>
          <w:szCs w:val="22"/>
        </w:rPr>
        <w:t xml:space="preserve"> en dicha plataforma de </w:t>
      </w:r>
      <w:r w:rsidR="0087646A">
        <w:rPr>
          <w:rFonts w:ascii="Arial" w:eastAsia="Arial" w:hAnsi="Arial" w:cs="Arial"/>
          <w:color w:val="000000"/>
          <w:sz w:val="22"/>
          <w:szCs w:val="22"/>
        </w:rPr>
        <w:t>tres</w:t>
      </w:r>
      <w:r>
        <w:rPr>
          <w:rFonts w:ascii="Arial" w:eastAsia="Arial" w:hAnsi="Arial" w:cs="Arial"/>
          <w:color w:val="000000"/>
          <w:sz w:val="22"/>
          <w:szCs w:val="22"/>
        </w:rPr>
        <w:t xml:space="preserve"> interesados y de 1.</w:t>
      </w:r>
      <w:r w:rsidR="0087646A">
        <w:rPr>
          <w:rFonts w:ascii="Arial" w:eastAsia="Arial" w:hAnsi="Arial" w:cs="Arial"/>
          <w:color w:val="000000"/>
          <w:sz w:val="22"/>
          <w:szCs w:val="22"/>
        </w:rPr>
        <w:t>497</w:t>
      </w:r>
      <w:r>
        <w:rPr>
          <w:rFonts w:ascii="Arial" w:eastAsia="Arial" w:hAnsi="Arial" w:cs="Arial"/>
          <w:color w:val="000000"/>
          <w:sz w:val="22"/>
          <w:szCs w:val="22"/>
        </w:rPr>
        <w:t xml:space="preserve"> posibles proveedores de </w:t>
      </w:r>
      <w:r w:rsidR="0087646A">
        <w:rPr>
          <w:rFonts w:ascii="Arial" w:eastAsia="Arial" w:hAnsi="Arial" w:cs="Arial"/>
          <w:color w:val="000000"/>
          <w:sz w:val="22"/>
          <w:szCs w:val="22"/>
        </w:rPr>
        <w:t xml:space="preserve">equipos, máquinas y mobiliario </w:t>
      </w:r>
      <w:r>
        <w:rPr>
          <w:rFonts w:ascii="Arial" w:eastAsia="Arial" w:hAnsi="Arial" w:cs="Arial"/>
          <w:color w:val="000000"/>
          <w:sz w:val="22"/>
          <w:szCs w:val="22"/>
        </w:rPr>
        <w:t>solicitados para lo cual se evidencia la participación de</w:t>
      </w:r>
      <w:r w:rsidR="0087646A">
        <w:rPr>
          <w:rFonts w:ascii="Arial" w:eastAsia="Arial" w:hAnsi="Arial" w:cs="Arial"/>
          <w:color w:val="000000"/>
          <w:sz w:val="22"/>
          <w:szCs w:val="22"/>
        </w:rPr>
        <w:t>l</w:t>
      </w:r>
      <w:r>
        <w:rPr>
          <w:rFonts w:ascii="Arial" w:eastAsia="Arial" w:hAnsi="Arial" w:cs="Arial"/>
          <w:color w:val="000000"/>
          <w:sz w:val="22"/>
          <w:szCs w:val="22"/>
        </w:rPr>
        <w:t xml:space="preserve"> proveedor con su respectiva cotizaci</w:t>
      </w:r>
      <w:r w:rsidR="0087646A">
        <w:rPr>
          <w:rFonts w:ascii="Arial" w:eastAsia="Arial" w:hAnsi="Arial" w:cs="Arial"/>
          <w:color w:val="000000"/>
          <w:sz w:val="22"/>
          <w:szCs w:val="22"/>
        </w:rPr>
        <w:t>ó</w:t>
      </w:r>
      <w:r>
        <w:rPr>
          <w:rFonts w:ascii="Arial" w:eastAsia="Arial" w:hAnsi="Arial" w:cs="Arial"/>
          <w:color w:val="000000"/>
          <w:sz w:val="22"/>
          <w:szCs w:val="22"/>
        </w:rPr>
        <w:t>n como se muestra en los pantallazos de la trazabilidad que refleja la plataforma de la siguiente manera:</w:t>
      </w:r>
    </w:p>
    <w:p w14:paraId="69B589F0" w14:textId="4CB6EB9C" w:rsidR="0087646A" w:rsidRDefault="0087646A">
      <w:pPr>
        <w:pBdr>
          <w:top w:val="nil"/>
          <w:left w:val="nil"/>
          <w:bottom w:val="nil"/>
          <w:right w:val="nil"/>
          <w:between w:val="nil"/>
        </w:pBdr>
        <w:spacing w:line="276" w:lineRule="auto"/>
        <w:jc w:val="both"/>
        <w:rPr>
          <w:noProof/>
        </w:rPr>
      </w:pPr>
      <w:r w:rsidRPr="001B2C33">
        <w:rPr>
          <w:b/>
          <w:bCs/>
          <w:noProof/>
        </w:rPr>
        <w:drawing>
          <wp:anchor distT="0" distB="0" distL="114300" distR="114300" simplePos="0" relativeHeight="251696128" behindDoc="0" locked="0" layoutInCell="1" allowOverlap="1" wp14:anchorId="34F956C7" wp14:editId="71CB826B">
            <wp:simplePos x="0" y="0"/>
            <wp:positionH relativeFrom="column">
              <wp:posOffset>-99060</wp:posOffset>
            </wp:positionH>
            <wp:positionV relativeFrom="paragraph">
              <wp:posOffset>1948180</wp:posOffset>
            </wp:positionV>
            <wp:extent cx="6405245" cy="2636520"/>
            <wp:effectExtent l="0" t="0" r="0" b="0"/>
            <wp:wrapTopAndBottom/>
            <wp:docPr id="13817272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727295"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405245" cy="2636520"/>
                    </a:xfrm>
                    <a:prstGeom prst="rect">
                      <a:avLst/>
                    </a:prstGeom>
                  </pic:spPr>
                </pic:pic>
              </a:graphicData>
            </a:graphic>
            <wp14:sizeRelH relativeFrom="margin">
              <wp14:pctWidth>0</wp14:pctWidth>
            </wp14:sizeRelH>
            <wp14:sizeRelV relativeFrom="margin">
              <wp14:pctHeight>0</wp14:pctHeight>
            </wp14:sizeRelV>
          </wp:anchor>
        </w:drawing>
      </w:r>
      <w:r w:rsidRPr="001B2C33">
        <w:rPr>
          <w:b/>
          <w:bCs/>
          <w:noProof/>
        </w:rPr>
        <w:drawing>
          <wp:anchor distT="0" distB="0" distL="114300" distR="114300" simplePos="0" relativeHeight="251694080" behindDoc="0" locked="0" layoutInCell="1" allowOverlap="1" wp14:anchorId="6D838F6A" wp14:editId="7F44144B">
            <wp:simplePos x="0" y="0"/>
            <wp:positionH relativeFrom="column">
              <wp:posOffset>-127635</wp:posOffset>
            </wp:positionH>
            <wp:positionV relativeFrom="paragraph">
              <wp:posOffset>201930</wp:posOffset>
            </wp:positionV>
            <wp:extent cx="6057900" cy="1607185"/>
            <wp:effectExtent l="0" t="0" r="0" b="0"/>
            <wp:wrapTopAndBottom/>
            <wp:docPr id="1376628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28509"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57900" cy="1607185"/>
                    </a:xfrm>
                    <a:prstGeom prst="rect">
                      <a:avLst/>
                    </a:prstGeom>
                  </pic:spPr>
                </pic:pic>
              </a:graphicData>
            </a:graphic>
            <wp14:sizeRelH relativeFrom="margin">
              <wp14:pctWidth>0</wp14:pctWidth>
            </wp14:sizeRelH>
            <wp14:sizeRelV relativeFrom="margin">
              <wp14:pctHeight>0</wp14:pctHeight>
            </wp14:sizeRelV>
          </wp:anchor>
        </w:drawing>
      </w:r>
    </w:p>
    <w:p w14:paraId="7B4EB03E" w14:textId="3972E0F8" w:rsidR="0087646A" w:rsidRDefault="0087646A">
      <w:pPr>
        <w:pBdr>
          <w:top w:val="nil"/>
          <w:left w:val="nil"/>
          <w:bottom w:val="nil"/>
          <w:right w:val="nil"/>
          <w:between w:val="nil"/>
        </w:pBdr>
        <w:spacing w:line="276" w:lineRule="auto"/>
        <w:jc w:val="both"/>
        <w:rPr>
          <w:noProof/>
        </w:rPr>
      </w:pPr>
    </w:p>
    <w:p w14:paraId="76E7E67E" w14:textId="13E888A1" w:rsidR="0087646A" w:rsidRDefault="0087646A">
      <w:pPr>
        <w:pBdr>
          <w:top w:val="nil"/>
          <w:left w:val="nil"/>
          <w:bottom w:val="nil"/>
          <w:right w:val="nil"/>
          <w:between w:val="nil"/>
        </w:pBdr>
        <w:spacing w:line="276" w:lineRule="auto"/>
        <w:jc w:val="both"/>
        <w:rPr>
          <w:noProof/>
        </w:rPr>
      </w:pPr>
    </w:p>
    <w:p w14:paraId="588AE41F" w14:textId="57B16D32" w:rsidR="0087646A" w:rsidRDefault="0087646A">
      <w:pPr>
        <w:pBdr>
          <w:top w:val="nil"/>
          <w:left w:val="nil"/>
          <w:bottom w:val="nil"/>
          <w:right w:val="nil"/>
          <w:between w:val="nil"/>
        </w:pBdr>
        <w:spacing w:line="276" w:lineRule="auto"/>
        <w:jc w:val="both"/>
        <w:rPr>
          <w:noProof/>
        </w:rPr>
      </w:pPr>
    </w:p>
    <w:p w14:paraId="60C7C81B" w14:textId="54505E65" w:rsidR="0087646A" w:rsidRDefault="0087646A">
      <w:pPr>
        <w:pBdr>
          <w:top w:val="nil"/>
          <w:left w:val="nil"/>
          <w:bottom w:val="nil"/>
          <w:right w:val="nil"/>
          <w:between w:val="nil"/>
        </w:pBdr>
        <w:spacing w:line="276" w:lineRule="auto"/>
        <w:jc w:val="both"/>
        <w:rPr>
          <w:noProof/>
        </w:rPr>
      </w:pPr>
      <w:r w:rsidRPr="001B2C33">
        <w:rPr>
          <w:b/>
          <w:bCs/>
          <w:noProof/>
        </w:rPr>
        <w:lastRenderedPageBreak/>
        <w:drawing>
          <wp:anchor distT="0" distB="0" distL="114300" distR="114300" simplePos="0" relativeHeight="251698176" behindDoc="0" locked="0" layoutInCell="1" allowOverlap="1" wp14:anchorId="31305639" wp14:editId="2823C4DD">
            <wp:simplePos x="0" y="0"/>
            <wp:positionH relativeFrom="margin">
              <wp:align>left</wp:align>
            </wp:positionH>
            <wp:positionV relativeFrom="paragraph">
              <wp:posOffset>313690</wp:posOffset>
            </wp:positionV>
            <wp:extent cx="6257925" cy="2635250"/>
            <wp:effectExtent l="0" t="0" r="9525" b="0"/>
            <wp:wrapTopAndBottom/>
            <wp:docPr id="18578820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8201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57925" cy="2635250"/>
                    </a:xfrm>
                    <a:prstGeom prst="rect">
                      <a:avLst/>
                    </a:prstGeom>
                  </pic:spPr>
                </pic:pic>
              </a:graphicData>
            </a:graphic>
            <wp14:sizeRelH relativeFrom="margin">
              <wp14:pctWidth>0</wp14:pctWidth>
            </wp14:sizeRelH>
            <wp14:sizeRelV relativeFrom="margin">
              <wp14:pctHeight>0</wp14:pctHeight>
            </wp14:sizeRelV>
          </wp:anchor>
        </w:drawing>
      </w:r>
      <w:r w:rsidRPr="001B2C33">
        <w:rPr>
          <w:b/>
          <w:bCs/>
          <w:noProof/>
        </w:rPr>
        <w:drawing>
          <wp:anchor distT="0" distB="0" distL="114300" distR="114300" simplePos="0" relativeHeight="251700224" behindDoc="1" locked="0" layoutInCell="1" allowOverlap="1" wp14:anchorId="39DC22E3" wp14:editId="2338B98A">
            <wp:simplePos x="0" y="0"/>
            <wp:positionH relativeFrom="margin">
              <wp:align>left</wp:align>
            </wp:positionH>
            <wp:positionV relativeFrom="paragraph">
              <wp:posOffset>27305</wp:posOffset>
            </wp:positionV>
            <wp:extent cx="6249304" cy="647700"/>
            <wp:effectExtent l="0" t="0" r="0" b="0"/>
            <wp:wrapNone/>
            <wp:docPr id="534707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07683" name=""/>
                    <pic:cNvPicPr/>
                  </pic:nvPicPr>
                  <pic:blipFill>
                    <a:blip r:embed="rId59">
                      <a:extLst>
                        <a:ext uri="{28A0092B-C50C-407E-A947-70E740481C1C}">
                          <a14:useLocalDpi xmlns:a14="http://schemas.microsoft.com/office/drawing/2010/main" val="0"/>
                        </a:ext>
                      </a:extLst>
                    </a:blip>
                    <a:stretch>
                      <a:fillRect/>
                    </a:stretch>
                  </pic:blipFill>
                  <pic:spPr>
                    <a:xfrm>
                      <a:off x="0" y="0"/>
                      <a:ext cx="6266078" cy="649438"/>
                    </a:xfrm>
                    <a:prstGeom prst="rect">
                      <a:avLst/>
                    </a:prstGeom>
                  </pic:spPr>
                </pic:pic>
              </a:graphicData>
            </a:graphic>
            <wp14:sizeRelH relativeFrom="margin">
              <wp14:pctWidth>0</wp14:pctWidth>
            </wp14:sizeRelH>
            <wp14:sizeRelV relativeFrom="margin">
              <wp14:pctHeight>0</wp14:pctHeight>
            </wp14:sizeRelV>
          </wp:anchor>
        </w:drawing>
      </w:r>
    </w:p>
    <w:p w14:paraId="4974348C" w14:textId="77777777" w:rsidR="00A657E5" w:rsidRDefault="00A657E5">
      <w:pPr>
        <w:pBdr>
          <w:top w:val="nil"/>
          <w:left w:val="nil"/>
          <w:bottom w:val="nil"/>
          <w:right w:val="nil"/>
          <w:between w:val="nil"/>
        </w:pBdr>
        <w:spacing w:line="276" w:lineRule="auto"/>
        <w:jc w:val="both"/>
        <w:rPr>
          <w:rFonts w:ascii="Arial" w:eastAsia="Arial" w:hAnsi="Arial" w:cs="Arial"/>
          <w:sz w:val="22"/>
          <w:szCs w:val="22"/>
        </w:rPr>
      </w:pPr>
    </w:p>
    <w:p w14:paraId="3CEE4484" w14:textId="4C1B2C02" w:rsidR="00572AD5" w:rsidRDefault="00000000">
      <w:p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 xml:space="preserve">Cómo se evidencia en el anterior pantallazo </w:t>
      </w:r>
      <w:r w:rsidR="00D34E17">
        <w:rPr>
          <w:rFonts w:ascii="Arial" w:eastAsia="Arial" w:hAnsi="Arial" w:cs="Arial"/>
          <w:sz w:val="22"/>
          <w:szCs w:val="22"/>
        </w:rPr>
        <w:t xml:space="preserve">el </w:t>
      </w:r>
      <w:r>
        <w:rPr>
          <w:rFonts w:ascii="Arial" w:eastAsia="Arial" w:hAnsi="Arial" w:cs="Arial"/>
          <w:sz w:val="22"/>
          <w:szCs w:val="22"/>
        </w:rPr>
        <w:t xml:space="preserve">proveedor participante a través de cotizaciones </w:t>
      </w:r>
      <w:r w:rsidR="00D34E17">
        <w:rPr>
          <w:rFonts w:ascii="Arial" w:eastAsia="Arial" w:hAnsi="Arial" w:cs="Arial"/>
          <w:sz w:val="22"/>
          <w:szCs w:val="22"/>
        </w:rPr>
        <w:t>es</w:t>
      </w:r>
      <w:r>
        <w:rPr>
          <w:rFonts w:ascii="Arial" w:eastAsia="Arial" w:hAnsi="Arial" w:cs="Arial"/>
          <w:sz w:val="22"/>
          <w:szCs w:val="22"/>
        </w:rPr>
        <w:t>:</w:t>
      </w:r>
    </w:p>
    <w:p w14:paraId="1BC75FAF" w14:textId="77777777" w:rsidR="00572AD5" w:rsidRDefault="00572AD5">
      <w:pPr>
        <w:pBdr>
          <w:top w:val="nil"/>
          <w:left w:val="nil"/>
          <w:bottom w:val="nil"/>
          <w:right w:val="nil"/>
          <w:between w:val="nil"/>
        </w:pBdr>
        <w:spacing w:line="276" w:lineRule="auto"/>
        <w:jc w:val="both"/>
        <w:rPr>
          <w:rFonts w:ascii="Arial" w:eastAsia="Arial" w:hAnsi="Arial" w:cs="Arial"/>
          <w:sz w:val="22"/>
          <w:szCs w:val="22"/>
        </w:rPr>
      </w:pPr>
    </w:p>
    <w:p w14:paraId="4AAE8D59" w14:textId="01F6EF0E" w:rsidR="00572AD5" w:rsidRDefault="00D34E17">
      <w:pPr>
        <w:numPr>
          <w:ilvl w:val="0"/>
          <w:numId w:val="3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FERRICENTROS SAS</w:t>
      </w:r>
    </w:p>
    <w:p w14:paraId="53AFCAE4" w14:textId="77777777" w:rsidR="00D34E17" w:rsidRDefault="00D34E17">
      <w:pPr>
        <w:jc w:val="both"/>
        <w:rPr>
          <w:rFonts w:ascii="Arial" w:eastAsia="Arial" w:hAnsi="Arial" w:cs="Arial"/>
          <w:sz w:val="22"/>
          <w:szCs w:val="22"/>
        </w:rPr>
      </w:pPr>
    </w:p>
    <w:p w14:paraId="13651324" w14:textId="379B1635" w:rsidR="00572AD5" w:rsidRDefault="00000000">
      <w:pPr>
        <w:jc w:val="both"/>
        <w:rPr>
          <w:rFonts w:ascii="Arial" w:eastAsia="Arial" w:hAnsi="Arial" w:cs="Arial"/>
          <w:sz w:val="22"/>
          <w:szCs w:val="22"/>
        </w:rPr>
      </w:pPr>
      <w:bookmarkStart w:id="5" w:name="_Hlk203822946"/>
      <w:r>
        <w:rPr>
          <w:rFonts w:ascii="Arial" w:eastAsia="Arial" w:hAnsi="Arial" w:cs="Arial"/>
          <w:sz w:val="22"/>
          <w:szCs w:val="22"/>
        </w:rPr>
        <w:t>Se procedió a verificar a los proponentes en el REGISTRO UNICO EMPRESARIAL Y SOCIAL RUES, así:</w:t>
      </w:r>
    </w:p>
    <w:bookmarkEnd w:id="5"/>
    <w:p w14:paraId="279BF597" w14:textId="77777777" w:rsidR="00572AD5" w:rsidRDefault="00572AD5">
      <w:pPr>
        <w:jc w:val="both"/>
        <w:rPr>
          <w:rFonts w:ascii="Arial" w:eastAsia="Arial" w:hAnsi="Arial" w:cs="Arial"/>
          <w:sz w:val="22"/>
          <w:szCs w:val="22"/>
        </w:rPr>
      </w:pPr>
    </w:p>
    <w:p w14:paraId="25296D76" w14:textId="274BB2D8" w:rsidR="00572AD5" w:rsidRDefault="00D34E17">
      <w:pPr>
        <w:jc w:val="both"/>
        <w:rPr>
          <w:rFonts w:ascii="Arial" w:eastAsia="Arial" w:hAnsi="Arial" w:cs="Arial"/>
          <w:sz w:val="22"/>
          <w:szCs w:val="22"/>
        </w:rPr>
      </w:pPr>
      <w:r w:rsidRPr="00D34E17">
        <w:rPr>
          <w:rFonts w:ascii="Arial" w:eastAsia="Arial" w:hAnsi="Arial" w:cs="Arial"/>
          <w:sz w:val="22"/>
          <w:szCs w:val="22"/>
        </w:rPr>
        <w:t>FERRICENTROS SAS</w:t>
      </w:r>
    </w:p>
    <w:p w14:paraId="37D1EEDC" w14:textId="02EDF9CA" w:rsidR="00D34E17" w:rsidRDefault="00D34E17">
      <w:pPr>
        <w:jc w:val="both"/>
        <w:rPr>
          <w:rFonts w:ascii="Arial" w:eastAsia="Arial" w:hAnsi="Arial" w:cs="Arial"/>
          <w:sz w:val="22"/>
          <w:szCs w:val="22"/>
        </w:rPr>
      </w:pPr>
      <w:r>
        <w:rPr>
          <w:noProof/>
        </w:rPr>
        <w:drawing>
          <wp:inline distT="0" distB="0" distL="0" distR="0" wp14:anchorId="7E945FFE" wp14:editId="689C37F2">
            <wp:extent cx="5457825" cy="3068385"/>
            <wp:effectExtent l="0" t="0" r="0" b="0"/>
            <wp:docPr id="726954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54090" name=""/>
                    <pic:cNvPicPr/>
                  </pic:nvPicPr>
                  <pic:blipFill>
                    <a:blip r:embed="rId60"/>
                    <a:stretch>
                      <a:fillRect/>
                    </a:stretch>
                  </pic:blipFill>
                  <pic:spPr>
                    <a:xfrm>
                      <a:off x="0" y="0"/>
                      <a:ext cx="5476520" cy="3078895"/>
                    </a:xfrm>
                    <a:prstGeom prst="rect">
                      <a:avLst/>
                    </a:prstGeom>
                  </pic:spPr>
                </pic:pic>
              </a:graphicData>
            </a:graphic>
          </wp:inline>
        </w:drawing>
      </w:r>
    </w:p>
    <w:p w14:paraId="51B22F8D" w14:textId="24981949" w:rsidR="00572AD5" w:rsidRDefault="00882268">
      <w:pPr>
        <w:jc w:val="both"/>
        <w:rPr>
          <w:rFonts w:ascii="Arial" w:eastAsia="Arial" w:hAnsi="Arial" w:cs="Arial"/>
          <w:sz w:val="22"/>
          <w:szCs w:val="22"/>
        </w:rPr>
      </w:pPr>
      <w:r>
        <w:rPr>
          <w:noProof/>
        </w:rPr>
        <w:lastRenderedPageBreak/>
        <w:drawing>
          <wp:inline distT="0" distB="0" distL="0" distR="0" wp14:anchorId="7A0EC0DC" wp14:editId="0D1AE304">
            <wp:extent cx="5429250" cy="3052319"/>
            <wp:effectExtent l="0" t="0" r="0" b="0"/>
            <wp:docPr id="12043108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10897" name=""/>
                    <pic:cNvPicPr/>
                  </pic:nvPicPr>
                  <pic:blipFill>
                    <a:blip r:embed="rId61"/>
                    <a:stretch>
                      <a:fillRect/>
                    </a:stretch>
                  </pic:blipFill>
                  <pic:spPr>
                    <a:xfrm>
                      <a:off x="0" y="0"/>
                      <a:ext cx="5433648" cy="3054791"/>
                    </a:xfrm>
                    <a:prstGeom prst="rect">
                      <a:avLst/>
                    </a:prstGeom>
                  </pic:spPr>
                </pic:pic>
              </a:graphicData>
            </a:graphic>
          </wp:inline>
        </w:drawing>
      </w:r>
    </w:p>
    <w:p w14:paraId="12A4EDAE" w14:textId="04A67D01" w:rsidR="00572AD5" w:rsidRDefault="00572AD5">
      <w:pPr>
        <w:jc w:val="both"/>
        <w:rPr>
          <w:rFonts w:ascii="Arial" w:eastAsia="Arial" w:hAnsi="Arial" w:cs="Arial"/>
          <w:sz w:val="22"/>
          <w:szCs w:val="22"/>
        </w:rPr>
      </w:pPr>
    </w:p>
    <w:p w14:paraId="6A2585F0" w14:textId="77777777" w:rsidR="00A657E5" w:rsidRDefault="00A657E5">
      <w:pPr>
        <w:jc w:val="both"/>
        <w:rPr>
          <w:rFonts w:ascii="Arial" w:eastAsia="Arial" w:hAnsi="Arial" w:cs="Arial"/>
          <w:sz w:val="22"/>
          <w:szCs w:val="22"/>
        </w:rPr>
      </w:pPr>
    </w:p>
    <w:p w14:paraId="644A114F" w14:textId="5B83CB92" w:rsidR="00572AD5" w:rsidRDefault="00882268">
      <w:pPr>
        <w:jc w:val="both"/>
        <w:rPr>
          <w:rFonts w:ascii="Arial" w:eastAsia="Arial" w:hAnsi="Arial" w:cs="Arial"/>
          <w:sz w:val="22"/>
          <w:szCs w:val="22"/>
        </w:rPr>
      </w:pPr>
      <w:r>
        <w:rPr>
          <w:rFonts w:ascii="Arial" w:eastAsia="Arial" w:hAnsi="Arial" w:cs="Arial"/>
          <w:sz w:val="22"/>
          <w:szCs w:val="22"/>
        </w:rPr>
        <w:t xml:space="preserve">Teniendo en cuenta que solo se presentó un solo proveedor por la plataforma SECOP </w:t>
      </w:r>
      <w:r w:rsidRPr="00882268">
        <w:rPr>
          <w:rFonts w:ascii="Arial" w:eastAsia="Arial" w:hAnsi="Arial" w:cs="Arial"/>
          <w:sz w:val="22"/>
          <w:szCs w:val="22"/>
        </w:rPr>
        <w:t>se recurrió a solicitar cotizaciones a través de correo</w:t>
      </w:r>
      <w:r>
        <w:rPr>
          <w:rFonts w:ascii="Arial" w:eastAsia="Arial" w:hAnsi="Arial" w:cs="Arial"/>
          <w:sz w:val="22"/>
          <w:szCs w:val="22"/>
        </w:rPr>
        <w:t>s</w:t>
      </w:r>
      <w:r w:rsidRPr="00882268">
        <w:rPr>
          <w:rFonts w:ascii="Arial" w:eastAsia="Arial" w:hAnsi="Arial" w:cs="Arial"/>
          <w:sz w:val="22"/>
          <w:szCs w:val="22"/>
        </w:rPr>
        <w:t xml:space="preserve"> electrónico</w:t>
      </w:r>
      <w:r>
        <w:rPr>
          <w:rFonts w:ascii="Arial" w:eastAsia="Arial" w:hAnsi="Arial" w:cs="Arial"/>
          <w:sz w:val="22"/>
          <w:szCs w:val="22"/>
        </w:rPr>
        <w:t>s</w:t>
      </w:r>
      <w:r w:rsidRPr="00882268">
        <w:rPr>
          <w:rFonts w:ascii="Arial" w:eastAsia="Arial" w:hAnsi="Arial" w:cs="Arial"/>
          <w:sz w:val="22"/>
          <w:szCs w:val="22"/>
        </w:rPr>
        <w:t>, obteniendo respuesta como se evidencia en la siguiente trazabilidad</w:t>
      </w:r>
      <w:r>
        <w:rPr>
          <w:rFonts w:ascii="Arial" w:eastAsia="Arial" w:hAnsi="Arial" w:cs="Arial"/>
          <w:sz w:val="22"/>
          <w:szCs w:val="22"/>
        </w:rPr>
        <w:t>:</w:t>
      </w:r>
    </w:p>
    <w:p w14:paraId="049CCCEF" w14:textId="77777777" w:rsidR="000420D6" w:rsidRDefault="000420D6">
      <w:pPr>
        <w:jc w:val="both"/>
        <w:rPr>
          <w:rFonts w:ascii="Arial" w:eastAsia="Arial" w:hAnsi="Arial" w:cs="Arial"/>
          <w:sz w:val="22"/>
          <w:szCs w:val="22"/>
        </w:rPr>
      </w:pPr>
    </w:p>
    <w:p w14:paraId="47C5DC17" w14:textId="71B2034F" w:rsidR="000420D6" w:rsidRDefault="000420D6">
      <w:pPr>
        <w:jc w:val="both"/>
        <w:rPr>
          <w:rFonts w:ascii="Arial" w:eastAsia="Arial" w:hAnsi="Arial" w:cs="Arial"/>
          <w:sz w:val="22"/>
          <w:szCs w:val="22"/>
        </w:rPr>
      </w:pPr>
      <w:r>
        <w:rPr>
          <w:rFonts w:ascii="Arial" w:eastAsia="Arial" w:hAnsi="Arial" w:cs="Arial"/>
          <w:sz w:val="22"/>
          <w:szCs w:val="22"/>
        </w:rPr>
        <w:t>Proveedor SOLYNTER SAS</w:t>
      </w:r>
    </w:p>
    <w:p w14:paraId="24631CBB" w14:textId="77777777" w:rsidR="00882268" w:rsidRDefault="00882268">
      <w:pPr>
        <w:jc w:val="both"/>
        <w:rPr>
          <w:rFonts w:ascii="Arial" w:eastAsia="Arial" w:hAnsi="Arial" w:cs="Arial"/>
          <w:sz w:val="22"/>
          <w:szCs w:val="22"/>
        </w:rPr>
      </w:pPr>
    </w:p>
    <w:p w14:paraId="2B60FF31" w14:textId="2EC56C54" w:rsidR="00882268" w:rsidRDefault="000420D6">
      <w:pPr>
        <w:jc w:val="both"/>
        <w:rPr>
          <w:rFonts w:ascii="Arial" w:eastAsia="Arial" w:hAnsi="Arial" w:cs="Arial"/>
          <w:sz w:val="22"/>
          <w:szCs w:val="22"/>
        </w:rPr>
      </w:pPr>
      <w:r>
        <w:rPr>
          <w:noProof/>
        </w:rPr>
        <w:drawing>
          <wp:inline distT="0" distB="0" distL="0" distR="0" wp14:anchorId="16E20B9B" wp14:editId="30F54DE6">
            <wp:extent cx="5629275" cy="2725175"/>
            <wp:effectExtent l="0" t="0" r="0" b="0"/>
            <wp:docPr id="2049375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75163" name=""/>
                    <pic:cNvPicPr/>
                  </pic:nvPicPr>
                  <pic:blipFill rotWithShape="1">
                    <a:blip r:embed="rId62"/>
                    <a:srcRect l="15956" t="34954" r="15351" b="5895"/>
                    <a:stretch>
                      <a:fillRect/>
                    </a:stretch>
                  </pic:blipFill>
                  <pic:spPr bwMode="auto">
                    <a:xfrm>
                      <a:off x="0" y="0"/>
                      <a:ext cx="5660033" cy="2740065"/>
                    </a:xfrm>
                    <a:prstGeom prst="rect">
                      <a:avLst/>
                    </a:prstGeom>
                    <a:ln>
                      <a:noFill/>
                    </a:ln>
                    <a:extLst>
                      <a:ext uri="{53640926-AAD7-44D8-BBD7-CCE9431645EC}">
                        <a14:shadowObscured xmlns:a14="http://schemas.microsoft.com/office/drawing/2010/main"/>
                      </a:ext>
                    </a:extLst>
                  </pic:spPr>
                </pic:pic>
              </a:graphicData>
            </a:graphic>
          </wp:inline>
        </w:drawing>
      </w:r>
    </w:p>
    <w:p w14:paraId="7D00EF2E" w14:textId="77777777" w:rsidR="000420D6" w:rsidRDefault="000420D6">
      <w:pPr>
        <w:jc w:val="both"/>
        <w:rPr>
          <w:noProof/>
        </w:rPr>
      </w:pPr>
    </w:p>
    <w:p w14:paraId="068ABFEB" w14:textId="546D37C2" w:rsidR="000420D6" w:rsidRDefault="000420D6">
      <w:pPr>
        <w:jc w:val="both"/>
        <w:rPr>
          <w:rFonts w:ascii="Arial" w:eastAsia="Arial" w:hAnsi="Arial" w:cs="Arial"/>
          <w:sz w:val="22"/>
          <w:szCs w:val="22"/>
        </w:rPr>
      </w:pPr>
      <w:r>
        <w:rPr>
          <w:noProof/>
        </w:rPr>
        <w:lastRenderedPageBreak/>
        <w:drawing>
          <wp:inline distT="0" distB="0" distL="0" distR="0" wp14:anchorId="65287502" wp14:editId="03300027">
            <wp:extent cx="5581650" cy="3762755"/>
            <wp:effectExtent l="0" t="0" r="0" b="9525"/>
            <wp:docPr id="15164434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43423" name=""/>
                    <pic:cNvPicPr/>
                  </pic:nvPicPr>
                  <pic:blipFill rotWithShape="1">
                    <a:blip r:embed="rId63"/>
                    <a:srcRect l="16124" t="11352" r="16359" b="7688"/>
                    <a:stretch>
                      <a:fillRect/>
                    </a:stretch>
                  </pic:blipFill>
                  <pic:spPr bwMode="auto">
                    <a:xfrm>
                      <a:off x="0" y="0"/>
                      <a:ext cx="5602004" cy="3776476"/>
                    </a:xfrm>
                    <a:prstGeom prst="rect">
                      <a:avLst/>
                    </a:prstGeom>
                    <a:ln>
                      <a:noFill/>
                    </a:ln>
                    <a:extLst>
                      <a:ext uri="{53640926-AAD7-44D8-BBD7-CCE9431645EC}">
                        <a14:shadowObscured xmlns:a14="http://schemas.microsoft.com/office/drawing/2010/main"/>
                      </a:ext>
                    </a:extLst>
                  </pic:spPr>
                </pic:pic>
              </a:graphicData>
            </a:graphic>
          </wp:inline>
        </w:drawing>
      </w:r>
    </w:p>
    <w:p w14:paraId="3BCAC7D4" w14:textId="2B2EA25B" w:rsidR="00572AD5" w:rsidRDefault="00572AD5">
      <w:pPr>
        <w:jc w:val="both"/>
        <w:rPr>
          <w:rFonts w:ascii="Arial" w:eastAsia="Arial" w:hAnsi="Arial" w:cs="Arial"/>
          <w:sz w:val="22"/>
          <w:szCs w:val="22"/>
        </w:rPr>
      </w:pPr>
    </w:p>
    <w:p w14:paraId="793957CD" w14:textId="46177047" w:rsidR="000420D6" w:rsidRPr="000420D6" w:rsidRDefault="000420D6">
      <w:pPr>
        <w:jc w:val="both"/>
        <w:rPr>
          <w:rFonts w:ascii="Arial" w:hAnsi="Arial" w:cs="Arial"/>
          <w:noProof/>
          <w:sz w:val="22"/>
          <w:szCs w:val="22"/>
        </w:rPr>
      </w:pPr>
      <w:r w:rsidRPr="000420D6">
        <w:rPr>
          <w:rFonts w:ascii="Arial" w:hAnsi="Arial" w:cs="Arial"/>
          <w:noProof/>
          <w:sz w:val="22"/>
          <w:szCs w:val="22"/>
        </w:rPr>
        <w:t>Proveedor EQUIPO DE GES SAS</w:t>
      </w:r>
    </w:p>
    <w:p w14:paraId="6D60DA58" w14:textId="61118C1E" w:rsidR="00572AD5" w:rsidRDefault="000420D6">
      <w:pPr>
        <w:jc w:val="both"/>
        <w:rPr>
          <w:rFonts w:ascii="Arial" w:eastAsia="Arial" w:hAnsi="Arial" w:cs="Arial"/>
          <w:sz w:val="22"/>
          <w:szCs w:val="22"/>
        </w:rPr>
      </w:pPr>
      <w:r>
        <w:rPr>
          <w:noProof/>
        </w:rPr>
        <w:drawing>
          <wp:inline distT="0" distB="0" distL="0" distR="0" wp14:anchorId="3A121C2C" wp14:editId="57520D53">
            <wp:extent cx="5457825" cy="2728913"/>
            <wp:effectExtent l="0" t="0" r="0" b="0"/>
            <wp:docPr id="427341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41863" name=""/>
                    <pic:cNvPicPr/>
                  </pic:nvPicPr>
                  <pic:blipFill rotWithShape="1">
                    <a:blip r:embed="rId64"/>
                    <a:srcRect l="15956" t="33759" r="16191" b="5894"/>
                    <a:stretch>
                      <a:fillRect/>
                    </a:stretch>
                  </pic:blipFill>
                  <pic:spPr bwMode="auto">
                    <a:xfrm>
                      <a:off x="0" y="0"/>
                      <a:ext cx="5460485" cy="2730243"/>
                    </a:xfrm>
                    <a:prstGeom prst="rect">
                      <a:avLst/>
                    </a:prstGeom>
                    <a:ln>
                      <a:noFill/>
                    </a:ln>
                    <a:extLst>
                      <a:ext uri="{53640926-AAD7-44D8-BBD7-CCE9431645EC}">
                        <a14:shadowObscured xmlns:a14="http://schemas.microsoft.com/office/drawing/2010/main"/>
                      </a:ext>
                    </a:extLst>
                  </pic:spPr>
                </pic:pic>
              </a:graphicData>
            </a:graphic>
          </wp:inline>
        </w:drawing>
      </w:r>
    </w:p>
    <w:p w14:paraId="52477F52" w14:textId="77777777" w:rsidR="00572AD5" w:rsidRDefault="00572AD5">
      <w:pPr>
        <w:jc w:val="both"/>
        <w:rPr>
          <w:rFonts w:ascii="Arial" w:eastAsia="Arial" w:hAnsi="Arial" w:cs="Arial"/>
          <w:sz w:val="22"/>
          <w:szCs w:val="22"/>
        </w:rPr>
      </w:pPr>
    </w:p>
    <w:p w14:paraId="4ED2CA7F" w14:textId="77777777" w:rsidR="000420D6" w:rsidRDefault="000420D6">
      <w:pPr>
        <w:jc w:val="both"/>
        <w:rPr>
          <w:noProof/>
        </w:rPr>
      </w:pPr>
    </w:p>
    <w:p w14:paraId="1BEC4608" w14:textId="4453683D" w:rsidR="00572AD5" w:rsidRDefault="000420D6">
      <w:pPr>
        <w:jc w:val="both"/>
        <w:rPr>
          <w:rFonts w:ascii="Arial" w:eastAsia="Arial" w:hAnsi="Arial" w:cs="Arial"/>
          <w:sz w:val="22"/>
          <w:szCs w:val="22"/>
        </w:rPr>
      </w:pPr>
      <w:r>
        <w:rPr>
          <w:noProof/>
        </w:rPr>
        <w:lastRenderedPageBreak/>
        <w:drawing>
          <wp:inline distT="0" distB="0" distL="0" distR="0" wp14:anchorId="09C21A12" wp14:editId="1916D9F9">
            <wp:extent cx="5429250" cy="3687536"/>
            <wp:effectExtent l="0" t="0" r="0" b="8255"/>
            <wp:docPr id="1804835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35178" name=""/>
                    <pic:cNvPicPr/>
                  </pic:nvPicPr>
                  <pic:blipFill rotWithShape="1">
                    <a:blip r:embed="rId65"/>
                    <a:srcRect l="16628" t="11055" r="16359" b="7986"/>
                    <a:stretch>
                      <a:fillRect/>
                    </a:stretch>
                  </pic:blipFill>
                  <pic:spPr bwMode="auto">
                    <a:xfrm>
                      <a:off x="0" y="0"/>
                      <a:ext cx="5438573" cy="3693868"/>
                    </a:xfrm>
                    <a:prstGeom prst="rect">
                      <a:avLst/>
                    </a:prstGeom>
                    <a:ln>
                      <a:noFill/>
                    </a:ln>
                    <a:extLst>
                      <a:ext uri="{53640926-AAD7-44D8-BBD7-CCE9431645EC}">
                        <a14:shadowObscured xmlns:a14="http://schemas.microsoft.com/office/drawing/2010/main"/>
                      </a:ext>
                    </a:extLst>
                  </pic:spPr>
                </pic:pic>
              </a:graphicData>
            </a:graphic>
          </wp:inline>
        </w:drawing>
      </w:r>
    </w:p>
    <w:p w14:paraId="52476132" w14:textId="77777777" w:rsidR="00572AD5" w:rsidRDefault="00572AD5">
      <w:pPr>
        <w:jc w:val="both"/>
        <w:rPr>
          <w:rFonts w:ascii="Arial" w:eastAsia="Arial" w:hAnsi="Arial" w:cs="Arial"/>
          <w:sz w:val="22"/>
          <w:szCs w:val="22"/>
        </w:rPr>
      </w:pPr>
    </w:p>
    <w:p w14:paraId="04DF659D" w14:textId="56FB2226" w:rsidR="000420D6" w:rsidRDefault="000420D6" w:rsidP="000420D6">
      <w:pPr>
        <w:jc w:val="both"/>
        <w:rPr>
          <w:rFonts w:ascii="Arial" w:eastAsia="Arial" w:hAnsi="Arial" w:cs="Arial"/>
          <w:sz w:val="22"/>
          <w:szCs w:val="22"/>
        </w:rPr>
      </w:pPr>
      <w:r>
        <w:rPr>
          <w:rFonts w:ascii="Arial" w:eastAsia="Arial" w:hAnsi="Arial" w:cs="Arial"/>
          <w:sz w:val="22"/>
          <w:szCs w:val="22"/>
        </w:rPr>
        <w:t>Se procedió a verificar a los proponentes solicitados por medio de correo electrónico en el REGISTRO UNICO EMPRESARIAL Y SOCIAL RUES, así:</w:t>
      </w:r>
    </w:p>
    <w:p w14:paraId="287A6115" w14:textId="77777777" w:rsidR="00572AD5" w:rsidRDefault="00572AD5">
      <w:pPr>
        <w:jc w:val="both"/>
        <w:rPr>
          <w:rFonts w:ascii="Arial" w:eastAsia="Arial" w:hAnsi="Arial" w:cs="Arial"/>
          <w:sz w:val="22"/>
          <w:szCs w:val="22"/>
        </w:rPr>
      </w:pPr>
    </w:p>
    <w:p w14:paraId="5069A7D7" w14:textId="77777777" w:rsidR="006F10FB" w:rsidRDefault="006F10FB" w:rsidP="006F10FB">
      <w:pPr>
        <w:jc w:val="both"/>
        <w:rPr>
          <w:rFonts w:ascii="Arial" w:eastAsia="Arial" w:hAnsi="Arial" w:cs="Arial"/>
          <w:sz w:val="22"/>
          <w:szCs w:val="22"/>
        </w:rPr>
      </w:pPr>
      <w:r>
        <w:rPr>
          <w:rFonts w:ascii="Arial" w:eastAsia="Arial" w:hAnsi="Arial" w:cs="Arial"/>
          <w:sz w:val="22"/>
          <w:szCs w:val="22"/>
        </w:rPr>
        <w:t>Proveedor SOLYNTER SAS</w:t>
      </w:r>
    </w:p>
    <w:p w14:paraId="49566F18" w14:textId="77777777" w:rsidR="006F10FB" w:rsidRDefault="006F10FB" w:rsidP="006F10FB">
      <w:pPr>
        <w:jc w:val="both"/>
        <w:rPr>
          <w:rFonts w:ascii="Arial" w:eastAsia="Arial" w:hAnsi="Arial" w:cs="Arial"/>
          <w:sz w:val="22"/>
          <w:szCs w:val="22"/>
        </w:rPr>
      </w:pPr>
    </w:p>
    <w:p w14:paraId="15EC1B3B" w14:textId="12656FF6" w:rsidR="006F10FB" w:rsidRDefault="006F10FB" w:rsidP="006F10FB">
      <w:pPr>
        <w:jc w:val="both"/>
        <w:rPr>
          <w:rFonts w:ascii="Arial" w:eastAsia="Arial" w:hAnsi="Arial" w:cs="Arial"/>
          <w:sz w:val="22"/>
          <w:szCs w:val="22"/>
        </w:rPr>
      </w:pPr>
      <w:r>
        <w:rPr>
          <w:noProof/>
        </w:rPr>
        <w:drawing>
          <wp:inline distT="0" distB="0" distL="0" distR="0" wp14:anchorId="5884DBD3" wp14:editId="56FA5AC2">
            <wp:extent cx="5514975" cy="3100514"/>
            <wp:effectExtent l="0" t="0" r="0" b="5080"/>
            <wp:docPr id="482049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49068" name=""/>
                    <pic:cNvPicPr/>
                  </pic:nvPicPr>
                  <pic:blipFill>
                    <a:blip r:embed="rId66"/>
                    <a:stretch>
                      <a:fillRect/>
                    </a:stretch>
                  </pic:blipFill>
                  <pic:spPr>
                    <a:xfrm>
                      <a:off x="0" y="0"/>
                      <a:ext cx="5524042" cy="3105612"/>
                    </a:xfrm>
                    <a:prstGeom prst="rect">
                      <a:avLst/>
                    </a:prstGeom>
                  </pic:spPr>
                </pic:pic>
              </a:graphicData>
            </a:graphic>
          </wp:inline>
        </w:drawing>
      </w:r>
    </w:p>
    <w:p w14:paraId="58E3D069" w14:textId="77777777" w:rsidR="006F10FB" w:rsidRDefault="006F10FB" w:rsidP="006F10FB">
      <w:pPr>
        <w:jc w:val="both"/>
        <w:rPr>
          <w:rFonts w:ascii="Arial" w:eastAsia="Arial" w:hAnsi="Arial" w:cs="Arial"/>
          <w:sz w:val="22"/>
          <w:szCs w:val="22"/>
        </w:rPr>
      </w:pPr>
    </w:p>
    <w:p w14:paraId="613D4265" w14:textId="5E4761E5" w:rsidR="006F10FB" w:rsidRDefault="006F10FB" w:rsidP="006F10FB">
      <w:pPr>
        <w:jc w:val="both"/>
        <w:rPr>
          <w:rFonts w:ascii="Arial" w:eastAsia="Arial" w:hAnsi="Arial" w:cs="Arial"/>
          <w:sz w:val="22"/>
          <w:szCs w:val="22"/>
        </w:rPr>
      </w:pPr>
      <w:r>
        <w:rPr>
          <w:noProof/>
        </w:rPr>
        <w:drawing>
          <wp:inline distT="0" distB="0" distL="0" distR="0" wp14:anchorId="738381CE" wp14:editId="5AA4104D">
            <wp:extent cx="5486400" cy="3084449"/>
            <wp:effectExtent l="0" t="0" r="0" b="1905"/>
            <wp:docPr id="220667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67276" name=""/>
                    <pic:cNvPicPr/>
                  </pic:nvPicPr>
                  <pic:blipFill>
                    <a:blip r:embed="rId67"/>
                    <a:stretch>
                      <a:fillRect/>
                    </a:stretch>
                  </pic:blipFill>
                  <pic:spPr>
                    <a:xfrm>
                      <a:off x="0" y="0"/>
                      <a:ext cx="5492151" cy="3087682"/>
                    </a:xfrm>
                    <a:prstGeom prst="rect">
                      <a:avLst/>
                    </a:prstGeom>
                  </pic:spPr>
                </pic:pic>
              </a:graphicData>
            </a:graphic>
          </wp:inline>
        </w:drawing>
      </w:r>
    </w:p>
    <w:p w14:paraId="4EA41EC4" w14:textId="77777777" w:rsidR="006F10FB" w:rsidRDefault="006F10FB" w:rsidP="006F10FB">
      <w:pPr>
        <w:jc w:val="both"/>
        <w:rPr>
          <w:rFonts w:ascii="Arial" w:eastAsia="Arial" w:hAnsi="Arial" w:cs="Arial"/>
          <w:sz w:val="22"/>
          <w:szCs w:val="22"/>
        </w:rPr>
      </w:pPr>
    </w:p>
    <w:p w14:paraId="09C87011" w14:textId="77777777" w:rsidR="006F10FB" w:rsidRDefault="006F10FB" w:rsidP="006F10FB">
      <w:pPr>
        <w:jc w:val="both"/>
        <w:rPr>
          <w:rFonts w:ascii="Arial" w:eastAsia="Arial" w:hAnsi="Arial" w:cs="Arial"/>
          <w:sz w:val="22"/>
          <w:szCs w:val="22"/>
        </w:rPr>
      </w:pPr>
    </w:p>
    <w:p w14:paraId="0058CA83" w14:textId="77777777" w:rsidR="006F10FB" w:rsidRPr="000420D6" w:rsidRDefault="006F10FB" w:rsidP="006F10FB">
      <w:pPr>
        <w:jc w:val="both"/>
        <w:rPr>
          <w:rFonts w:ascii="Arial" w:hAnsi="Arial" w:cs="Arial"/>
          <w:noProof/>
          <w:sz w:val="22"/>
          <w:szCs w:val="22"/>
        </w:rPr>
      </w:pPr>
      <w:r w:rsidRPr="000420D6">
        <w:rPr>
          <w:rFonts w:ascii="Arial" w:hAnsi="Arial" w:cs="Arial"/>
          <w:noProof/>
          <w:sz w:val="22"/>
          <w:szCs w:val="22"/>
        </w:rPr>
        <w:t>Proveedor EQUIPO DE GES SAS</w:t>
      </w:r>
    </w:p>
    <w:p w14:paraId="508718BF" w14:textId="77777777" w:rsidR="00572AD5" w:rsidRDefault="00572AD5">
      <w:pPr>
        <w:jc w:val="both"/>
        <w:rPr>
          <w:rFonts w:ascii="Arial" w:eastAsia="Arial" w:hAnsi="Arial" w:cs="Arial"/>
          <w:sz w:val="22"/>
          <w:szCs w:val="22"/>
        </w:rPr>
      </w:pPr>
    </w:p>
    <w:p w14:paraId="13164169" w14:textId="13585FAF" w:rsidR="006F10FB" w:rsidRDefault="002775D5">
      <w:pPr>
        <w:jc w:val="both"/>
        <w:rPr>
          <w:rFonts w:ascii="Arial" w:eastAsia="Arial" w:hAnsi="Arial" w:cs="Arial"/>
          <w:sz w:val="22"/>
          <w:szCs w:val="22"/>
        </w:rPr>
      </w:pPr>
      <w:r>
        <w:rPr>
          <w:noProof/>
        </w:rPr>
        <w:drawing>
          <wp:inline distT="0" distB="0" distL="0" distR="0" wp14:anchorId="405B7DB0" wp14:editId="08D2CE03">
            <wp:extent cx="5476875" cy="3079094"/>
            <wp:effectExtent l="0" t="0" r="0" b="7620"/>
            <wp:docPr id="16192689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268990" name=""/>
                    <pic:cNvPicPr/>
                  </pic:nvPicPr>
                  <pic:blipFill>
                    <a:blip r:embed="rId68"/>
                    <a:stretch>
                      <a:fillRect/>
                    </a:stretch>
                  </pic:blipFill>
                  <pic:spPr>
                    <a:xfrm>
                      <a:off x="0" y="0"/>
                      <a:ext cx="5483726" cy="3082946"/>
                    </a:xfrm>
                    <a:prstGeom prst="rect">
                      <a:avLst/>
                    </a:prstGeom>
                  </pic:spPr>
                </pic:pic>
              </a:graphicData>
            </a:graphic>
          </wp:inline>
        </w:drawing>
      </w:r>
    </w:p>
    <w:p w14:paraId="357902FF" w14:textId="77777777" w:rsidR="002775D5" w:rsidRDefault="002775D5">
      <w:pPr>
        <w:jc w:val="both"/>
        <w:rPr>
          <w:rFonts w:ascii="Arial" w:eastAsia="Arial" w:hAnsi="Arial" w:cs="Arial"/>
          <w:sz w:val="22"/>
          <w:szCs w:val="22"/>
        </w:rPr>
      </w:pPr>
    </w:p>
    <w:p w14:paraId="1E765F3F" w14:textId="31C2728A" w:rsidR="002775D5" w:rsidRDefault="002775D5">
      <w:pPr>
        <w:jc w:val="both"/>
        <w:rPr>
          <w:rFonts w:ascii="Arial" w:eastAsia="Arial" w:hAnsi="Arial" w:cs="Arial"/>
          <w:sz w:val="22"/>
          <w:szCs w:val="22"/>
        </w:rPr>
      </w:pPr>
      <w:r>
        <w:rPr>
          <w:noProof/>
        </w:rPr>
        <w:lastRenderedPageBreak/>
        <w:drawing>
          <wp:inline distT="0" distB="0" distL="0" distR="0" wp14:anchorId="0BB0DB0C" wp14:editId="7EF6D454">
            <wp:extent cx="5505450" cy="3095159"/>
            <wp:effectExtent l="0" t="0" r="0" b="0"/>
            <wp:docPr id="20580227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22730" name=""/>
                    <pic:cNvPicPr/>
                  </pic:nvPicPr>
                  <pic:blipFill>
                    <a:blip r:embed="rId69"/>
                    <a:stretch>
                      <a:fillRect/>
                    </a:stretch>
                  </pic:blipFill>
                  <pic:spPr>
                    <a:xfrm>
                      <a:off x="0" y="0"/>
                      <a:ext cx="5508833" cy="3097061"/>
                    </a:xfrm>
                    <a:prstGeom prst="rect">
                      <a:avLst/>
                    </a:prstGeom>
                  </pic:spPr>
                </pic:pic>
              </a:graphicData>
            </a:graphic>
          </wp:inline>
        </w:drawing>
      </w:r>
    </w:p>
    <w:p w14:paraId="164C4429" w14:textId="77777777" w:rsidR="002775D5" w:rsidRDefault="002775D5">
      <w:pPr>
        <w:jc w:val="both"/>
        <w:rPr>
          <w:rFonts w:ascii="Arial" w:eastAsia="Arial" w:hAnsi="Arial" w:cs="Arial"/>
          <w:sz w:val="22"/>
          <w:szCs w:val="22"/>
        </w:rPr>
      </w:pPr>
    </w:p>
    <w:p w14:paraId="0F65E7BD" w14:textId="77777777" w:rsidR="006F10FB" w:rsidRDefault="006F10FB">
      <w:pPr>
        <w:jc w:val="both"/>
        <w:rPr>
          <w:rFonts w:ascii="Arial" w:eastAsia="Arial" w:hAnsi="Arial" w:cs="Arial"/>
          <w:sz w:val="22"/>
          <w:szCs w:val="22"/>
        </w:rPr>
      </w:pPr>
    </w:p>
    <w:p w14:paraId="39C71FD4" w14:textId="73C2F111" w:rsidR="00572AD5" w:rsidRDefault="00000000">
      <w:pPr>
        <w:jc w:val="both"/>
        <w:rPr>
          <w:rFonts w:ascii="Arial" w:eastAsia="Arial" w:hAnsi="Arial" w:cs="Arial"/>
          <w:sz w:val="22"/>
          <w:szCs w:val="22"/>
        </w:rPr>
      </w:pPr>
      <w:r>
        <w:rPr>
          <w:rFonts w:ascii="Arial" w:eastAsia="Arial" w:hAnsi="Arial" w:cs="Arial"/>
          <w:sz w:val="22"/>
          <w:szCs w:val="22"/>
        </w:rPr>
        <w:t xml:space="preserve">Verificada esta información y contando con tres precotizaciones obtenidas </w:t>
      </w:r>
      <w:proofErr w:type="gramStart"/>
      <w:r w:rsidR="004E718E">
        <w:rPr>
          <w:rFonts w:ascii="Arial" w:eastAsia="Arial" w:hAnsi="Arial" w:cs="Arial"/>
          <w:sz w:val="22"/>
          <w:szCs w:val="22"/>
        </w:rPr>
        <w:t xml:space="preserve">una  </w:t>
      </w:r>
      <w:r>
        <w:rPr>
          <w:rFonts w:ascii="Arial" w:eastAsia="Arial" w:hAnsi="Arial" w:cs="Arial"/>
          <w:sz w:val="22"/>
          <w:szCs w:val="22"/>
        </w:rPr>
        <w:t>a</w:t>
      </w:r>
      <w:proofErr w:type="gramEnd"/>
      <w:r>
        <w:rPr>
          <w:rFonts w:ascii="Arial" w:eastAsia="Arial" w:hAnsi="Arial" w:cs="Arial"/>
          <w:sz w:val="22"/>
          <w:szCs w:val="22"/>
        </w:rPr>
        <w:t xml:space="preserve"> través de la plataforma SECOP y posteriormente</w:t>
      </w:r>
      <w:r w:rsidR="004E718E">
        <w:rPr>
          <w:rFonts w:ascii="Arial" w:eastAsia="Arial" w:hAnsi="Arial" w:cs="Arial"/>
          <w:sz w:val="22"/>
          <w:szCs w:val="22"/>
        </w:rPr>
        <w:t xml:space="preserve"> 2 precotizaciones</w:t>
      </w:r>
      <w:r>
        <w:rPr>
          <w:rFonts w:ascii="Arial" w:eastAsia="Arial" w:hAnsi="Arial" w:cs="Arial"/>
          <w:sz w:val="22"/>
          <w:szCs w:val="22"/>
        </w:rPr>
        <w:t xml:space="preserve"> por medio de correo</w:t>
      </w:r>
      <w:r w:rsidR="004E718E">
        <w:rPr>
          <w:rFonts w:ascii="Arial" w:eastAsia="Arial" w:hAnsi="Arial" w:cs="Arial"/>
          <w:sz w:val="22"/>
          <w:szCs w:val="22"/>
        </w:rPr>
        <w:t>s</w:t>
      </w:r>
      <w:r>
        <w:rPr>
          <w:rFonts w:ascii="Arial" w:eastAsia="Arial" w:hAnsi="Arial" w:cs="Arial"/>
          <w:sz w:val="22"/>
          <w:szCs w:val="22"/>
        </w:rPr>
        <w:t xml:space="preserve"> electrónico</w:t>
      </w:r>
      <w:r w:rsidR="004E718E">
        <w:rPr>
          <w:rFonts w:ascii="Arial" w:eastAsia="Arial" w:hAnsi="Arial" w:cs="Arial"/>
          <w:sz w:val="22"/>
          <w:szCs w:val="22"/>
        </w:rPr>
        <w:t>s</w:t>
      </w:r>
      <w:r>
        <w:rPr>
          <w:rFonts w:ascii="Arial" w:eastAsia="Arial" w:hAnsi="Arial" w:cs="Arial"/>
          <w:sz w:val="22"/>
          <w:szCs w:val="22"/>
        </w:rPr>
        <w:t xml:space="preserve">, la entidad constituyó el estudio de mercado con los precios de los bienes que por este proceso está requiriendo contratar para lo cual se presenta el </w:t>
      </w:r>
      <w:r>
        <w:rPr>
          <w:rFonts w:ascii="Arial" w:eastAsia="Arial" w:hAnsi="Arial" w:cs="Arial"/>
          <w:b/>
          <w:sz w:val="22"/>
          <w:szCs w:val="22"/>
        </w:rPr>
        <w:t>Estudio de Mercado</w:t>
      </w:r>
      <w:r>
        <w:rPr>
          <w:rFonts w:ascii="Arial" w:eastAsia="Arial" w:hAnsi="Arial" w:cs="Arial"/>
          <w:sz w:val="22"/>
          <w:szCs w:val="22"/>
        </w:rPr>
        <w:t xml:space="preserve"> resultado de las tres (3) </w:t>
      </w:r>
      <w:r w:rsidR="004E718E">
        <w:rPr>
          <w:rFonts w:ascii="Arial" w:eastAsia="Arial" w:hAnsi="Arial" w:cs="Arial"/>
          <w:sz w:val="22"/>
          <w:szCs w:val="22"/>
        </w:rPr>
        <w:t>pre</w:t>
      </w:r>
      <w:r>
        <w:rPr>
          <w:rFonts w:ascii="Arial" w:eastAsia="Arial" w:hAnsi="Arial" w:cs="Arial"/>
          <w:sz w:val="22"/>
          <w:szCs w:val="22"/>
        </w:rPr>
        <w:t>cotizaciones:</w:t>
      </w:r>
    </w:p>
    <w:p w14:paraId="271CD545" w14:textId="77777777" w:rsidR="00572AD5" w:rsidRDefault="00572AD5">
      <w:pPr>
        <w:jc w:val="both"/>
        <w:rPr>
          <w:rFonts w:ascii="Arial" w:eastAsia="Arial" w:hAnsi="Arial" w:cs="Arial"/>
          <w:sz w:val="22"/>
          <w:szCs w:val="22"/>
        </w:rPr>
        <w:sectPr w:rsidR="00572AD5">
          <w:headerReference w:type="default" r:id="rId70"/>
          <w:footerReference w:type="default" r:id="rId71"/>
          <w:pgSz w:w="12242" w:h="15842"/>
          <w:pgMar w:top="1701" w:right="1610" w:bottom="1134" w:left="1701" w:header="709" w:footer="227" w:gutter="0"/>
          <w:pgNumType w:start="1"/>
          <w:cols w:space="720"/>
        </w:sectPr>
      </w:pPr>
    </w:p>
    <w:p w14:paraId="182E75F6" w14:textId="77777777" w:rsidR="00572AD5" w:rsidRDefault="00000000">
      <w:pPr>
        <w:spacing w:line="276" w:lineRule="auto"/>
        <w:jc w:val="center"/>
        <w:rPr>
          <w:rFonts w:ascii="Arial" w:eastAsia="Arial" w:hAnsi="Arial" w:cs="Arial"/>
          <w:b/>
        </w:rPr>
      </w:pPr>
      <w:r>
        <w:rPr>
          <w:rFonts w:ascii="Arial" w:eastAsia="Arial" w:hAnsi="Arial" w:cs="Arial"/>
          <w:b/>
        </w:rPr>
        <w:lastRenderedPageBreak/>
        <w:t>CUADRO ESTUDIO DE MERCADO</w:t>
      </w:r>
    </w:p>
    <w:p w14:paraId="57E50E1E" w14:textId="77777777" w:rsidR="00572AD5" w:rsidRDefault="00572AD5">
      <w:pPr>
        <w:spacing w:line="276" w:lineRule="auto"/>
        <w:jc w:val="both"/>
        <w:rPr>
          <w:rFonts w:ascii="Arial" w:eastAsia="Arial" w:hAnsi="Arial" w:cs="Arial"/>
          <w:b/>
          <w:sz w:val="22"/>
          <w:szCs w:val="22"/>
        </w:rPr>
      </w:pPr>
    </w:p>
    <w:p w14:paraId="095B7E67" w14:textId="77777777" w:rsidR="00572AD5" w:rsidRDefault="00572AD5">
      <w:pPr>
        <w:spacing w:line="276" w:lineRule="auto"/>
        <w:jc w:val="both"/>
        <w:rPr>
          <w:rFonts w:ascii="Arial" w:eastAsia="Arial" w:hAnsi="Arial" w:cs="Arial"/>
          <w:b/>
          <w:sz w:val="22"/>
          <w:szCs w:val="22"/>
        </w:rPr>
      </w:pPr>
    </w:p>
    <w:p w14:paraId="160CDF4E" w14:textId="77777777" w:rsidR="00572AD5" w:rsidRDefault="00572AD5">
      <w:pPr>
        <w:spacing w:line="276" w:lineRule="auto"/>
        <w:jc w:val="both"/>
        <w:rPr>
          <w:rFonts w:ascii="Arial" w:eastAsia="Arial" w:hAnsi="Arial" w:cs="Arial"/>
          <w:b/>
          <w:sz w:val="22"/>
          <w:szCs w:val="22"/>
        </w:rPr>
      </w:pPr>
    </w:p>
    <w:p w14:paraId="06DF7B6C" w14:textId="77777777" w:rsidR="00572AD5" w:rsidRDefault="00572AD5">
      <w:pPr>
        <w:spacing w:line="276" w:lineRule="auto"/>
        <w:jc w:val="both"/>
        <w:rPr>
          <w:rFonts w:ascii="Arial" w:eastAsia="Arial" w:hAnsi="Arial" w:cs="Arial"/>
          <w:b/>
          <w:sz w:val="22"/>
          <w:szCs w:val="22"/>
        </w:rPr>
      </w:pPr>
    </w:p>
    <w:p w14:paraId="468E87AB" w14:textId="77777777" w:rsidR="00572AD5" w:rsidRDefault="00572AD5">
      <w:pPr>
        <w:spacing w:line="276" w:lineRule="auto"/>
        <w:jc w:val="both"/>
        <w:rPr>
          <w:rFonts w:ascii="Arial" w:eastAsia="Arial" w:hAnsi="Arial" w:cs="Arial"/>
          <w:b/>
          <w:sz w:val="22"/>
          <w:szCs w:val="22"/>
        </w:rPr>
      </w:pPr>
    </w:p>
    <w:p w14:paraId="64F7961E" w14:textId="77777777" w:rsidR="00572AD5" w:rsidRDefault="00572AD5">
      <w:pPr>
        <w:spacing w:line="276" w:lineRule="auto"/>
        <w:jc w:val="both"/>
        <w:rPr>
          <w:rFonts w:ascii="Arial" w:eastAsia="Arial" w:hAnsi="Arial" w:cs="Arial"/>
          <w:b/>
          <w:sz w:val="22"/>
          <w:szCs w:val="22"/>
        </w:rPr>
      </w:pPr>
    </w:p>
    <w:p w14:paraId="0946E56D" w14:textId="77777777" w:rsidR="00572AD5" w:rsidRDefault="00000000">
      <w:pPr>
        <w:spacing w:line="276" w:lineRule="auto"/>
        <w:jc w:val="both"/>
        <w:rPr>
          <w:rFonts w:ascii="Arial" w:eastAsia="Arial" w:hAnsi="Arial" w:cs="Arial"/>
          <w:b/>
          <w:sz w:val="22"/>
          <w:szCs w:val="22"/>
        </w:rPr>
        <w:sectPr w:rsidR="00572AD5">
          <w:pgSz w:w="15842" w:h="12242" w:orient="landscape"/>
          <w:pgMar w:top="1701" w:right="1701" w:bottom="1610" w:left="1134" w:header="709" w:footer="227" w:gutter="0"/>
          <w:pgNumType w:start="1"/>
          <w:cols w:space="720"/>
        </w:sectPr>
      </w:pPr>
      <w:r>
        <w:rPr>
          <w:rFonts w:ascii="Arial" w:eastAsia="Arial" w:hAnsi="Arial" w:cs="Arial"/>
          <w:b/>
          <w:sz w:val="22"/>
          <w:szCs w:val="22"/>
        </w:rPr>
        <w:t xml:space="preserve">El presente estudio de mercado hace parte integral del presente análisis del sector. </w:t>
      </w:r>
    </w:p>
    <w:p w14:paraId="7FDC48FB" w14:textId="718F790C" w:rsidR="00572AD5" w:rsidRDefault="00000000">
      <w:pPr>
        <w:jc w:val="both"/>
        <w:rPr>
          <w:rFonts w:ascii="Arial" w:eastAsia="Arial" w:hAnsi="Arial" w:cs="Arial"/>
          <w:b/>
          <w:color w:val="000000"/>
          <w:sz w:val="22"/>
          <w:szCs w:val="22"/>
        </w:rPr>
      </w:pPr>
      <w:r>
        <w:rPr>
          <w:rFonts w:ascii="Arial" w:eastAsia="Arial" w:hAnsi="Arial" w:cs="Arial"/>
          <w:sz w:val="22"/>
          <w:szCs w:val="22"/>
        </w:rPr>
        <w:lastRenderedPageBreak/>
        <w:t xml:space="preserve">En ese orden de ideas, el </w:t>
      </w:r>
      <w:r>
        <w:rPr>
          <w:rFonts w:ascii="Arial" w:eastAsia="Arial" w:hAnsi="Arial" w:cs="Arial"/>
          <w:b/>
          <w:sz w:val="22"/>
          <w:szCs w:val="22"/>
        </w:rPr>
        <w:t>Estudio de Mercado realizado a valores unitarios</w:t>
      </w:r>
      <w:r>
        <w:rPr>
          <w:rFonts w:ascii="Arial" w:eastAsia="Arial" w:hAnsi="Arial" w:cs="Arial"/>
          <w:sz w:val="22"/>
          <w:szCs w:val="22"/>
        </w:rPr>
        <w:t>, se obtuvo como presupuesto oficial para</w:t>
      </w:r>
      <w:r w:rsidR="00F4552B">
        <w:rPr>
          <w:rFonts w:ascii="Arial" w:eastAsia="Arial" w:hAnsi="Arial" w:cs="Arial"/>
          <w:b/>
          <w:sz w:val="22"/>
          <w:szCs w:val="22"/>
        </w:rPr>
        <w:t>:</w:t>
      </w:r>
      <w:r w:rsidR="00F4552B">
        <w:rPr>
          <w:rFonts w:ascii="Arial" w:eastAsia="Arial" w:hAnsi="Arial" w:cs="Arial"/>
          <w:sz w:val="22"/>
          <w:szCs w:val="22"/>
        </w:rPr>
        <w:t xml:space="preserve"> </w:t>
      </w:r>
      <w:r w:rsidR="00F4552B">
        <w:rPr>
          <w:rFonts w:ascii="Arial" w:eastAsia="Arial" w:hAnsi="Arial" w:cs="Arial"/>
          <w:b/>
          <w:sz w:val="22"/>
          <w:szCs w:val="22"/>
        </w:rPr>
        <w:t>“</w:t>
      </w:r>
      <w:r w:rsidR="00F4552B" w:rsidRPr="005D74DD">
        <w:rPr>
          <w:rFonts w:ascii="Arial" w:eastAsia="Arial" w:hAnsi="Arial" w:cs="Arial"/>
          <w:b/>
          <w:sz w:val="22"/>
          <w:szCs w:val="22"/>
        </w:rPr>
        <w:t>CONTRATAR LA COMPRA DE EQUIPOS, MÁQUINAS Y MOBILIARIO PARA EL GIMNASIO</w:t>
      </w:r>
      <w:r w:rsidR="00F4552B">
        <w:rPr>
          <w:rFonts w:ascii="Arial" w:eastAsia="Arial" w:hAnsi="Arial" w:cs="Arial"/>
          <w:b/>
          <w:sz w:val="22"/>
          <w:szCs w:val="22"/>
        </w:rPr>
        <w:t xml:space="preserve"> </w:t>
      </w:r>
      <w:r w:rsidR="00F4552B" w:rsidRPr="005D74DD">
        <w:rPr>
          <w:rFonts w:ascii="Arial" w:eastAsia="Arial" w:hAnsi="Arial" w:cs="Arial"/>
          <w:b/>
          <w:sz w:val="22"/>
          <w:szCs w:val="22"/>
        </w:rPr>
        <w:t>Y LOS AMBIENTES DEL CENTRO DE CONVIVENCIA DEL CENTRO AGROPECUARIO LA</w:t>
      </w:r>
      <w:r w:rsidR="00F4552B">
        <w:rPr>
          <w:rFonts w:ascii="Arial" w:eastAsia="Arial" w:hAnsi="Arial" w:cs="Arial"/>
          <w:b/>
          <w:sz w:val="22"/>
          <w:szCs w:val="22"/>
        </w:rPr>
        <w:t xml:space="preserve"> </w:t>
      </w:r>
      <w:r w:rsidR="00F4552B" w:rsidRPr="005D74DD">
        <w:rPr>
          <w:rFonts w:ascii="Arial" w:eastAsia="Arial" w:hAnsi="Arial" w:cs="Arial"/>
          <w:b/>
          <w:sz w:val="22"/>
          <w:szCs w:val="22"/>
        </w:rPr>
        <w:t>GRANJA, UBICADO EN EL ESPINAL, CON EL PROPÓSITO DE FORTALECER LAS</w:t>
      </w:r>
      <w:r w:rsidR="00F4552B">
        <w:rPr>
          <w:rFonts w:ascii="Arial" w:eastAsia="Arial" w:hAnsi="Arial" w:cs="Arial"/>
          <w:b/>
          <w:sz w:val="22"/>
          <w:szCs w:val="22"/>
        </w:rPr>
        <w:t xml:space="preserve"> </w:t>
      </w:r>
      <w:r w:rsidR="00F4552B" w:rsidRPr="005D74DD">
        <w:rPr>
          <w:rFonts w:ascii="Arial" w:eastAsia="Arial" w:hAnsi="Arial" w:cs="Arial"/>
          <w:b/>
          <w:sz w:val="22"/>
          <w:szCs w:val="22"/>
        </w:rPr>
        <w:t>CONDICIONES DE BIENESTAR AL APRENDIZ, PARA LA VIGENCIA 2025</w:t>
      </w:r>
      <w:r w:rsidR="00F4552B">
        <w:rPr>
          <w:rFonts w:ascii="Arial" w:eastAsia="Arial" w:hAnsi="Arial" w:cs="Arial"/>
          <w:b/>
          <w:sz w:val="22"/>
          <w:szCs w:val="22"/>
        </w:rPr>
        <w:t xml:space="preserve">” </w:t>
      </w:r>
      <w:r>
        <w:rPr>
          <w:rFonts w:ascii="Arial" w:eastAsia="Arial" w:hAnsi="Arial" w:cs="Arial"/>
          <w:color w:val="000000"/>
          <w:sz w:val="22"/>
          <w:szCs w:val="22"/>
        </w:rPr>
        <w:t xml:space="preserve">por un valor total </w:t>
      </w:r>
      <w:proofErr w:type="gramStart"/>
      <w:r>
        <w:rPr>
          <w:rFonts w:ascii="Arial" w:eastAsia="Arial" w:hAnsi="Arial" w:cs="Arial"/>
          <w:b/>
          <w:color w:val="000000"/>
          <w:sz w:val="22"/>
          <w:szCs w:val="22"/>
        </w:rPr>
        <w:t xml:space="preserve">de  </w:t>
      </w:r>
      <w:r w:rsidR="00F4552B">
        <w:rPr>
          <w:rFonts w:ascii="Arial" w:eastAsia="Arial" w:hAnsi="Arial" w:cs="Arial"/>
          <w:b/>
          <w:color w:val="000000"/>
          <w:sz w:val="22"/>
          <w:szCs w:val="22"/>
        </w:rPr>
        <w:t>XX</w:t>
      </w:r>
      <w:proofErr w:type="gramEnd"/>
      <w:r>
        <w:rPr>
          <w:rFonts w:ascii="Arial" w:eastAsia="Arial" w:hAnsi="Arial" w:cs="Arial"/>
          <w:b/>
          <w:color w:val="000000"/>
          <w:sz w:val="22"/>
          <w:szCs w:val="22"/>
        </w:rPr>
        <w:t xml:space="preserve"> MILLONES </w:t>
      </w:r>
      <w:r w:rsidR="00F4552B">
        <w:rPr>
          <w:rFonts w:ascii="Arial" w:eastAsia="Arial" w:hAnsi="Arial" w:cs="Arial"/>
          <w:b/>
          <w:color w:val="000000"/>
          <w:sz w:val="22"/>
          <w:szCs w:val="22"/>
        </w:rPr>
        <w:t>XX</w:t>
      </w:r>
      <w:r>
        <w:rPr>
          <w:rFonts w:ascii="Arial" w:eastAsia="Arial" w:hAnsi="Arial" w:cs="Arial"/>
          <w:b/>
          <w:color w:val="000000"/>
          <w:sz w:val="22"/>
          <w:szCs w:val="22"/>
        </w:rPr>
        <w:t xml:space="preserve"> MIL </w:t>
      </w:r>
      <w:r w:rsidR="00F4552B">
        <w:rPr>
          <w:rFonts w:ascii="Arial" w:eastAsia="Arial" w:hAnsi="Arial" w:cs="Arial"/>
          <w:b/>
          <w:color w:val="000000"/>
          <w:sz w:val="22"/>
          <w:szCs w:val="22"/>
        </w:rPr>
        <w:t>XX</w:t>
      </w:r>
      <w:r>
        <w:rPr>
          <w:rFonts w:ascii="Arial" w:eastAsia="Arial" w:hAnsi="Arial" w:cs="Arial"/>
          <w:b/>
          <w:color w:val="000000"/>
          <w:sz w:val="22"/>
          <w:szCs w:val="22"/>
        </w:rPr>
        <w:t xml:space="preserve"> PESOS ($</w:t>
      </w:r>
      <w:r w:rsidR="00F4552B">
        <w:rPr>
          <w:rFonts w:ascii="Arial" w:eastAsia="Arial" w:hAnsi="Arial" w:cs="Arial"/>
          <w:b/>
          <w:color w:val="000000"/>
          <w:sz w:val="22"/>
          <w:szCs w:val="22"/>
        </w:rPr>
        <w:t>XX</w:t>
      </w:r>
      <w:r>
        <w:rPr>
          <w:rFonts w:ascii="Arial" w:eastAsia="Arial" w:hAnsi="Arial" w:cs="Arial"/>
          <w:b/>
          <w:color w:val="000000"/>
          <w:sz w:val="22"/>
          <w:szCs w:val="22"/>
        </w:rPr>
        <w:t xml:space="preserve">) MONEDA CORRIENTE INCLUIDO IVA.  </w:t>
      </w:r>
    </w:p>
    <w:p w14:paraId="40E8C2D7" w14:textId="77777777" w:rsidR="00572AD5" w:rsidRDefault="00572AD5">
      <w:pPr>
        <w:jc w:val="both"/>
        <w:rPr>
          <w:rFonts w:ascii="Arial" w:eastAsia="Arial" w:hAnsi="Arial" w:cs="Arial"/>
          <w:b/>
          <w:color w:val="000000"/>
          <w:sz w:val="22"/>
          <w:szCs w:val="22"/>
        </w:rPr>
      </w:pPr>
    </w:p>
    <w:p w14:paraId="3C877D1C"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Este valor incluye todos los gastos y costos en que incurra el oferente aceptado para la legalización y cumplimiento de la oferta aceptada, pago de impuestos y descuentos de Ley a que haya lugar, teniendo en cuenta el estudio del promedio de mercado a costo unitario.</w:t>
      </w:r>
    </w:p>
    <w:p w14:paraId="34D76E32"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7AB3188" w14:textId="77777777" w:rsidR="00572AD5" w:rsidRDefault="00000000" w:rsidP="002C6D1E">
      <w:pPr>
        <w:numPr>
          <w:ilvl w:val="0"/>
          <w:numId w:val="27"/>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 xml:space="preserve"> PRESUPUESTO</w:t>
      </w:r>
    </w:p>
    <w:p w14:paraId="0D97FF2F" w14:textId="77777777" w:rsidR="00572AD5" w:rsidRDefault="00572AD5">
      <w:pPr>
        <w:pBdr>
          <w:top w:val="nil"/>
          <w:left w:val="nil"/>
          <w:bottom w:val="nil"/>
          <w:right w:val="nil"/>
          <w:between w:val="nil"/>
        </w:pBdr>
        <w:ind w:left="360"/>
        <w:jc w:val="both"/>
        <w:rPr>
          <w:rFonts w:ascii="Arial" w:eastAsia="Arial" w:hAnsi="Arial" w:cs="Arial"/>
          <w:b/>
          <w:color w:val="000000"/>
          <w:sz w:val="22"/>
          <w:szCs w:val="22"/>
        </w:rPr>
      </w:pPr>
    </w:p>
    <w:p w14:paraId="1B255A36" w14:textId="2DEEED02"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color w:val="000000"/>
          <w:sz w:val="22"/>
          <w:szCs w:val="22"/>
        </w:rPr>
        <w:t xml:space="preserve">El presupuesto disponible para la presente contratación es la suma de </w:t>
      </w:r>
      <w:r>
        <w:rPr>
          <w:rFonts w:ascii="Arial" w:eastAsia="Arial" w:hAnsi="Arial" w:cs="Arial"/>
          <w:b/>
          <w:color w:val="000000"/>
          <w:sz w:val="22"/>
          <w:szCs w:val="22"/>
        </w:rPr>
        <w:t xml:space="preserve">TRESCIENTOS </w:t>
      </w:r>
      <w:r w:rsidR="00D5373E">
        <w:rPr>
          <w:rFonts w:ascii="Arial" w:eastAsia="Arial" w:hAnsi="Arial" w:cs="Arial"/>
          <w:b/>
          <w:color w:val="000000"/>
          <w:sz w:val="22"/>
          <w:szCs w:val="22"/>
        </w:rPr>
        <w:t xml:space="preserve">CINCUENTA </w:t>
      </w:r>
      <w:r>
        <w:rPr>
          <w:rFonts w:ascii="Arial" w:eastAsia="Arial" w:hAnsi="Arial" w:cs="Arial"/>
          <w:b/>
          <w:color w:val="000000"/>
          <w:sz w:val="22"/>
          <w:szCs w:val="22"/>
        </w:rPr>
        <w:t xml:space="preserve">Y </w:t>
      </w:r>
      <w:r w:rsidR="00D5373E">
        <w:rPr>
          <w:rFonts w:ascii="Arial" w:eastAsia="Arial" w:hAnsi="Arial" w:cs="Arial"/>
          <w:b/>
          <w:color w:val="000000"/>
          <w:sz w:val="22"/>
          <w:szCs w:val="22"/>
        </w:rPr>
        <w:t>UN</w:t>
      </w:r>
      <w:r>
        <w:rPr>
          <w:rFonts w:ascii="Arial" w:eastAsia="Arial" w:hAnsi="Arial" w:cs="Arial"/>
          <w:b/>
          <w:color w:val="000000"/>
          <w:sz w:val="22"/>
          <w:szCs w:val="22"/>
        </w:rPr>
        <w:t xml:space="preserve"> MILLONES </w:t>
      </w:r>
      <w:r w:rsidR="00D5373E">
        <w:rPr>
          <w:rFonts w:ascii="Arial" w:eastAsia="Arial" w:hAnsi="Arial" w:cs="Arial"/>
          <w:b/>
          <w:color w:val="000000"/>
          <w:sz w:val="22"/>
          <w:szCs w:val="22"/>
        </w:rPr>
        <w:t>SETECIENTOS</w:t>
      </w:r>
      <w:r>
        <w:rPr>
          <w:rFonts w:ascii="Arial" w:eastAsia="Arial" w:hAnsi="Arial" w:cs="Arial"/>
          <w:b/>
          <w:color w:val="000000"/>
          <w:sz w:val="22"/>
          <w:szCs w:val="22"/>
        </w:rPr>
        <w:t xml:space="preserve"> MIL PESOS ($</w:t>
      </w:r>
      <w:r w:rsidR="00D5373E" w:rsidRPr="00D5373E">
        <w:rPr>
          <w:rFonts w:ascii="Arial" w:eastAsia="Arial" w:hAnsi="Arial" w:cs="Arial"/>
          <w:b/>
          <w:color w:val="000000"/>
          <w:sz w:val="22"/>
          <w:szCs w:val="22"/>
        </w:rPr>
        <w:t>351.700.000</w:t>
      </w:r>
      <w:r>
        <w:rPr>
          <w:rFonts w:ascii="Arial" w:eastAsia="Arial" w:hAnsi="Arial" w:cs="Arial"/>
          <w:b/>
          <w:color w:val="000000"/>
          <w:sz w:val="22"/>
          <w:szCs w:val="22"/>
        </w:rPr>
        <w:t xml:space="preserve">,00) </w:t>
      </w:r>
      <w:r>
        <w:rPr>
          <w:rFonts w:ascii="Arial" w:eastAsia="Arial" w:hAnsi="Arial" w:cs="Arial"/>
          <w:color w:val="000000"/>
          <w:sz w:val="22"/>
          <w:szCs w:val="22"/>
        </w:rPr>
        <w:t xml:space="preserve">incluido IVA y todos los gastos y costos en que incurra el oferente; con cargo a los Certificados de Disponibilidad Presupuestal </w:t>
      </w:r>
      <w:r>
        <w:rPr>
          <w:rFonts w:ascii="Arial" w:eastAsia="Arial" w:hAnsi="Arial" w:cs="Arial"/>
          <w:b/>
          <w:color w:val="000000"/>
          <w:sz w:val="22"/>
          <w:szCs w:val="22"/>
        </w:rPr>
        <w:t xml:space="preserve">No. </w:t>
      </w:r>
      <w:r w:rsidR="00D5373E">
        <w:rPr>
          <w:rFonts w:ascii="Arial" w:eastAsia="Arial" w:hAnsi="Arial" w:cs="Arial"/>
          <w:b/>
          <w:color w:val="000000"/>
          <w:sz w:val="22"/>
          <w:szCs w:val="22"/>
        </w:rPr>
        <w:t>79</w:t>
      </w:r>
      <w:r>
        <w:rPr>
          <w:rFonts w:ascii="Arial" w:eastAsia="Arial" w:hAnsi="Arial" w:cs="Arial"/>
          <w:b/>
          <w:color w:val="000000"/>
          <w:sz w:val="22"/>
          <w:szCs w:val="22"/>
        </w:rPr>
        <w:t xml:space="preserve">25 del </w:t>
      </w:r>
      <w:r w:rsidR="00D5373E">
        <w:rPr>
          <w:rFonts w:ascii="Arial" w:eastAsia="Arial" w:hAnsi="Arial" w:cs="Arial"/>
          <w:b/>
          <w:color w:val="000000"/>
          <w:sz w:val="22"/>
          <w:szCs w:val="22"/>
        </w:rPr>
        <w:t>1</w:t>
      </w:r>
      <w:r>
        <w:rPr>
          <w:rFonts w:ascii="Arial" w:eastAsia="Arial" w:hAnsi="Arial" w:cs="Arial"/>
          <w:b/>
          <w:color w:val="000000"/>
          <w:sz w:val="22"/>
          <w:szCs w:val="22"/>
        </w:rPr>
        <w:t xml:space="preserve"> de </w:t>
      </w:r>
      <w:r w:rsidR="00D5373E">
        <w:rPr>
          <w:rFonts w:ascii="Arial" w:eastAsia="Arial" w:hAnsi="Arial" w:cs="Arial"/>
          <w:b/>
          <w:color w:val="000000"/>
          <w:sz w:val="22"/>
          <w:szCs w:val="22"/>
        </w:rPr>
        <w:t>Julio</w:t>
      </w:r>
      <w:r>
        <w:rPr>
          <w:rFonts w:ascii="Arial" w:eastAsia="Arial" w:hAnsi="Arial" w:cs="Arial"/>
          <w:b/>
          <w:color w:val="000000"/>
          <w:sz w:val="22"/>
          <w:szCs w:val="22"/>
        </w:rPr>
        <w:t xml:space="preserve"> de 2025.</w:t>
      </w:r>
    </w:p>
    <w:p w14:paraId="03027C93"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1171B44D" w14:textId="77777777" w:rsidR="00572AD5" w:rsidRDefault="00000000">
      <w:pPr>
        <w:tabs>
          <w:tab w:val="left" w:pos="0"/>
          <w:tab w:val="left" w:pos="284"/>
        </w:tabs>
        <w:jc w:val="both"/>
        <w:rPr>
          <w:rFonts w:ascii="Arial" w:eastAsia="Arial" w:hAnsi="Arial" w:cs="Arial"/>
          <w:b/>
          <w:i/>
          <w:sz w:val="22"/>
          <w:szCs w:val="22"/>
        </w:rPr>
      </w:pPr>
      <w:r>
        <w:rPr>
          <w:rFonts w:ascii="Arial" w:eastAsia="Arial" w:hAnsi="Arial" w:cs="Arial"/>
          <w:b/>
          <w:sz w:val="22"/>
          <w:szCs w:val="22"/>
        </w:rPr>
        <w:t>NOTA 1.</w:t>
      </w:r>
      <w:r>
        <w:rPr>
          <w:rFonts w:ascii="Arial" w:eastAsia="Arial" w:hAnsi="Arial" w:cs="Arial"/>
          <w:b/>
          <w:i/>
          <w:sz w:val="22"/>
          <w:szCs w:val="22"/>
        </w:rPr>
        <w:t xml:space="preserve"> </w:t>
      </w:r>
      <w:r>
        <w:rPr>
          <w:rFonts w:ascii="Arial" w:eastAsia="Arial" w:hAnsi="Arial" w:cs="Arial"/>
          <w:sz w:val="22"/>
          <w:szCs w:val="22"/>
        </w:rPr>
        <w:t>Los bienes por adquirir se pagarán con recursos del presupuesto del Centro Agropecuario La Granja, respaldado por el Certificado de Disponibilidad Presupuestal que antecede</w:t>
      </w:r>
      <w:r>
        <w:rPr>
          <w:rFonts w:ascii="Arial" w:eastAsia="Arial" w:hAnsi="Arial" w:cs="Arial"/>
          <w:b/>
          <w:i/>
          <w:sz w:val="22"/>
          <w:szCs w:val="22"/>
        </w:rPr>
        <w:t xml:space="preserve">.  </w:t>
      </w:r>
    </w:p>
    <w:p w14:paraId="521E977C" w14:textId="77777777" w:rsidR="00572AD5" w:rsidRDefault="00572AD5">
      <w:pPr>
        <w:tabs>
          <w:tab w:val="left" w:pos="0"/>
          <w:tab w:val="left" w:pos="284"/>
        </w:tabs>
        <w:jc w:val="both"/>
        <w:rPr>
          <w:rFonts w:ascii="Arial" w:eastAsia="Arial" w:hAnsi="Arial" w:cs="Arial"/>
          <w:b/>
          <w:i/>
          <w:sz w:val="22"/>
          <w:szCs w:val="22"/>
        </w:rPr>
      </w:pPr>
    </w:p>
    <w:p w14:paraId="7AA652A6" w14:textId="77777777" w:rsidR="00572AD5" w:rsidRDefault="00000000">
      <w:pPr>
        <w:jc w:val="both"/>
        <w:rPr>
          <w:rFonts w:ascii="Arial" w:eastAsia="Arial" w:hAnsi="Arial" w:cs="Arial"/>
          <w:b/>
          <w:sz w:val="22"/>
          <w:szCs w:val="22"/>
        </w:rPr>
      </w:pPr>
      <w:r>
        <w:rPr>
          <w:rFonts w:ascii="Arial" w:eastAsia="Arial" w:hAnsi="Arial" w:cs="Arial"/>
          <w:b/>
          <w:sz w:val="22"/>
          <w:szCs w:val="22"/>
        </w:rPr>
        <w:t>NOTA 2.</w:t>
      </w:r>
      <w:r>
        <w:rPr>
          <w:rFonts w:ascii="Arial" w:eastAsia="Arial" w:hAnsi="Arial" w:cs="Arial"/>
          <w:b/>
          <w:i/>
          <w:sz w:val="22"/>
          <w:szCs w:val="22"/>
        </w:rPr>
        <w:t xml:space="preserve"> </w:t>
      </w:r>
      <w:r>
        <w:rPr>
          <w:rFonts w:ascii="Arial" w:eastAsia="Arial" w:hAnsi="Arial" w:cs="Arial"/>
          <w:sz w:val="22"/>
          <w:szCs w:val="22"/>
        </w:rPr>
        <w:t xml:space="preserve">La propuesta que supere el presupuesto oficial establecido para cada uno de los ítems o la totalidad de los ítems para el presente proceso será </w:t>
      </w:r>
      <w:r>
        <w:rPr>
          <w:rFonts w:ascii="Arial" w:eastAsia="Arial" w:hAnsi="Arial" w:cs="Arial"/>
          <w:b/>
          <w:sz w:val="22"/>
          <w:szCs w:val="22"/>
        </w:rPr>
        <w:t>RECHAZADA.</w:t>
      </w:r>
    </w:p>
    <w:p w14:paraId="59BDAC01" w14:textId="77777777" w:rsidR="00572AD5" w:rsidRDefault="00572AD5">
      <w:pPr>
        <w:tabs>
          <w:tab w:val="left" w:pos="0"/>
          <w:tab w:val="left" w:pos="284"/>
        </w:tabs>
        <w:jc w:val="both"/>
        <w:rPr>
          <w:rFonts w:ascii="Arial" w:eastAsia="Arial" w:hAnsi="Arial" w:cs="Arial"/>
          <w:b/>
          <w:i/>
          <w:sz w:val="22"/>
          <w:szCs w:val="22"/>
        </w:rPr>
      </w:pPr>
    </w:p>
    <w:p w14:paraId="5C7C8C63" w14:textId="77777777" w:rsidR="00572AD5" w:rsidRDefault="00000000">
      <w:pPr>
        <w:tabs>
          <w:tab w:val="left" w:pos="0"/>
          <w:tab w:val="left" w:pos="284"/>
        </w:tabs>
        <w:jc w:val="both"/>
        <w:rPr>
          <w:rFonts w:ascii="Arial" w:eastAsia="Arial" w:hAnsi="Arial" w:cs="Arial"/>
          <w:b/>
          <w:sz w:val="22"/>
          <w:szCs w:val="22"/>
        </w:rPr>
      </w:pPr>
      <w:r>
        <w:rPr>
          <w:rFonts w:ascii="Arial" w:eastAsia="Arial" w:hAnsi="Arial" w:cs="Arial"/>
          <w:b/>
          <w:sz w:val="22"/>
          <w:szCs w:val="22"/>
        </w:rPr>
        <w:t>NOTA 3.</w:t>
      </w:r>
      <w:r>
        <w:rPr>
          <w:rFonts w:ascii="Arial" w:eastAsia="Arial" w:hAnsi="Arial" w:cs="Arial"/>
          <w:sz w:val="22"/>
          <w:szCs w:val="22"/>
        </w:rPr>
        <w:t xml:space="preserve"> el proponente deberá tener en cuenta que el SENA Centro Agropecuario La Granja El Espinal</w:t>
      </w:r>
      <w:r>
        <w:rPr>
          <w:rFonts w:ascii="Arial" w:eastAsia="Arial" w:hAnsi="Arial" w:cs="Arial"/>
          <w:b/>
          <w:sz w:val="22"/>
          <w:szCs w:val="22"/>
        </w:rPr>
        <w:t>, adjudicará el proceso por la totalidad del presupuesto disponible</w:t>
      </w:r>
      <w:r>
        <w:rPr>
          <w:rFonts w:ascii="Arial" w:eastAsia="Arial" w:hAnsi="Arial" w:cs="Arial"/>
          <w:sz w:val="22"/>
          <w:szCs w:val="22"/>
        </w:rPr>
        <w:t xml:space="preserve">, por lo tanto, el adjudicatario deberá aceptar el </w:t>
      </w:r>
      <w:r>
        <w:rPr>
          <w:rFonts w:ascii="Arial" w:eastAsia="Arial" w:hAnsi="Arial" w:cs="Arial"/>
          <w:b/>
          <w:sz w:val="22"/>
          <w:szCs w:val="22"/>
        </w:rPr>
        <w:t>contrato por el 100% del presupuesto disponible.</w:t>
      </w:r>
    </w:p>
    <w:p w14:paraId="31228CA1"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7CE3F469" w14:textId="77777777" w:rsidR="00572AD5" w:rsidRDefault="00000000" w:rsidP="002C6D1E">
      <w:pPr>
        <w:numPr>
          <w:ilvl w:val="0"/>
          <w:numId w:val="27"/>
        </w:numPr>
        <w:pBdr>
          <w:top w:val="nil"/>
          <w:left w:val="nil"/>
          <w:bottom w:val="nil"/>
          <w:right w:val="nil"/>
          <w:between w:val="nil"/>
        </w:pBdr>
        <w:jc w:val="both"/>
        <w:rPr>
          <w:rFonts w:ascii="Arial" w:eastAsia="Arial" w:hAnsi="Arial" w:cs="Arial"/>
          <w:b/>
          <w:color w:val="000000"/>
          <w:sz w:val="22"/>
          <w:szCs w:val="22"/>
        </w:rPr>
      </w:pPr>
      <w:bookmarkStart w:id="6" w:name="_dp30zbakgupt" w:colFirst="0" w:colLast="0"/>
      <w:bookmarkEnd w:id="6"/>
      <w:r>
        <w:rPr>
          <w:rFonts w:ascii="Arial" w:eastAsia="Arial" w:hAnsi="Arial" w:cs="Arial"/>
          <w:b/>
          <w:color w:val="000000"/>
          <w:sz w:val="22"/>
          <w:szCs w:val="22"/>
        </w:rPr>
        <w:t>ASPECTOS PRESUPUESTALES</w:t>
      </w:r>
    </w:p>
    <w:p w14:paraId="502458DA" w14:textId="77777777" w:rsidR="00572AD5" w:rsidRDefault="00572AD5">
      <w:pPr>
        <w:pBdr>
          <w:top w:val="nil"/>
          <w:left w:val="nil"/>
          <w:bottom w:val="nil"/>
          <w:right w:val="nil"/>
          <w:between w:val="nil"/>
        </w:pBdr>
        <w:ind w:left="720"/>
        <w:jc w:val="both"/>
        <w:rPr>
          <w:rFonts w:ascii="Arial" w:eastAsia="Arial" w:hAnsi="Arial" w:cs="Arial"/>
          <w:b/>
          <w:color w:val="000000"/>
          <w:sz w:val="22"/>
          <w:szCs w:val="22"/>
        </w:rPr>
      </w:pPr>
    </w:p>
    <w:tbl>
      <w:tblPr>
        <w:tblStyle w:val="ad"/>
        <w:tblpPr w:leftFromText="141" w:rightFromText="141" w:vertAnchor="text" w:tblpY="1"/>
        <w:tblW w:w="8828" w:type="dxa"/>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400" w:firstRow="0" w:lastRow="0" w:firstColumn="0" w:lastColumn="0" w:noHBand="0" w:noVBand="1"/>
      </w:tblPr>
      <w:tblGrid>
        <w:gridCol w:w="2183"/>
        <w:gridCol w:w="1403"/>
        <w:gridCol w:w="3146"/>
        <w:gridCol w:w="2096"/>
      </w:tblGrid>
      <w:tr w:rsidR="00572AD5" w14:paraId="296E6A8F" w14:textId="77777777">
        <w:trPr>
          <w:trHeight w:val="235"/>
        </w:trPr>
        <w:tc>
          <w:tcPr>
            <w:tcW w:w="8828" w:type="dxa"/>
            <w:gridSpan w:val="4"/>
            <w:tcBorders>
              <w:top w:val="single" w:sz="4" w:space="0" w:color="70AD47"/>
              <w:left w:val="single" w:sz="4" w:space="0" w:color="70AD47"/>
              <w:bottom w:val="single" w:sz="4" w:space="0" w:color="70AD47"/>
              <w:right w:val="single" w:sz="4" w:space="0" w:color="70AD47"/>
            </w:tcBorders>
            <w:shd w:val="clear" w:color="auto" w:fill="70AD47"/>
            <w:vAlign w:val="center"/>
          </w:tcPr>
          <w:p w14:paraId="1D719504"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RUBRO: </w:t>
            </w:r>
          </w:p>
        </w:tc>
      </w:tr>
      <w:tr w:rsidR="00572AD5" w14:paraId="3D1CBF8D" w14:textId="77777777">
        <w:trPr>
          <w:trHeight w:val="235"/>
        </w:trPr>
        <w:tc>
          <w:tcPr>
            <w:tcW w:w="2183" w:type="dxa"/>
            <w:shd w:val="clear" w:color="auto" w:fill="E2EFD9"/>
            <w:vAlign w:val="center"/>
          </w:tcPr>
          <w:p w14:paraId="0BFABAF5"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403" w:type="dxa"/>
            <w:shd w:val="clear" w:color="auto" w:fill="E2EFD9"/>
            <w:vAlign w:val="center"/>
          </w:tcPr>
          <w:p w14:paraId="2CE2F5AA"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Indique con X</w:t>
            </w:r>
          </w:p>
        </w:tc>
        <w:tc>
          <w:tcPr>
            <w:tcW w:w="3146" w:type="dxa"/>
            <w:shd w:val="clear" w:color="auto" w:fill="E2EFD9"/>
            <w:vAlign w:val="center"/>
          </w:tcPr>
          <w:p w14:paraId="19F73820"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RUBRO</w:t>
            </w:r>
          </w:p>
        </w:tc>
        <w:tc>
          <w:tcPr>
            <w:tcW w:w="2096" w:type="dxa"/>
            <w:shd w:val="clear" w:color="auto" w:fill="E2EFD9"/>
            <w:vAlign w:val="center"/>
          </w:tcPr>
          <w:p w14:paraId="3C30F466"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w:t>
            </w:r>
          </w:p>
        </w:tc>
      </w:tr>
      <w:tr w:rsidR="00572AD5" w14:paraId="3090A62E" w14:textId="77777777">
        <w:trPr>
          <w:trHeight w:val="314"/>
        </w:trPr>
        <w:tc>
          <w:tcPr>
            <w:tcW w:w="2183" w:type="dxa"/>
            <w:shd w:val="clear" w:color="auto" w:fill="auto"/>
          </w:tcPr>
          <w:p w14:paraId="12ED5D8A"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Inversión</w:t>
            </w:r>
          </w:p>
        </w:tc>
        <w:tc>
          <w:tcPr>
            <w:tcW w:w="1403" w:type="dxa"/>
            <w:shd w:val="clear" w:color="auto" w:fill="auto"/>
            <w:vAlign w:val="center"/>
          </w:tcPr>
          <w:p w14:paraId="372A3E64"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X</w:t>
            </w:r>
          </w:p>
        </w:tc>
        <w:tc>
          <w:tcPr>
            <w:tcW w:w="3146" w:type="dxa"/>
            <w:shd w:val="clear" w:color="auto" w:fill="auto"/>
            <w:vAlign w:val="center"/>
          </w:tcPr>
          <w:p w14:paraId="6AA85233" w14:textId="586F618A" w:rsidR="00572AD5" w:rsidRDefault="00D5373E">
            <w:pPr>
              <w:jc w:val="both"/>
              <w:rPr>
                <w:rFonts w:ascii="Arial" w:eastAsia="Arial" w:hAnsi="Arial" w:cs="Arial"/>
                <w:color w:val="000000"/>
                <w:sz w:val="18"/>
                <w:szCs w:val="18"/>
                <w:highlight w:val="yellow"/>
              </w:rPr>
            </w:pPr>
            <w:r w:rsidRPr="00D5373E">
              <w:rPr>
                <w:rFonts w:ascii="Arial" w:eastAsia="Arial" w:hAnsi="Arial" w:cs="Arial"/>
                <w:color w:val="000000"/>
                <w:sz w:val="16"/>
                <w:szCs w:val="16"/>
              </w:rPr>
              <w:t>C-3603-1300-20-20305C-3603024-02</w:t>
            </w:r>
          </w:p>
        </w:tc>
        <w:tc>
          <w:tcPr>
            <w:tcW w:w="2096" w:type="dxa"/>
            <w:shd w:val="clear" w:color="auto" w:fill="auto"/>
            <w:vAlign w:val="center"/>
          </w:tcPr>
          <w:p w14:paraId="5666607E" w14:textId="4A372FE1" w:rsidR="00572AD5" w:rsidRDefault="00000000">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color w:val="000000"/>
                <w:sz w:val="18"/>
                <w:szCs w:val="18"/>
              </w:rPr>
              <w:t>$</w:t>
            </w:r>
            <w:r w:rsidR="00D5373E">
              <w:rPr>
                <w:rFonts w:ascii="Arial" w:eastAsia="Arial" w:hAnsi="Arial" w:cs="Arial"/>
                <w:color w:val="000000"/>
                <w:sz w:val="18"/>
                <w:szCs w:val="18"/>
              </w:rPr>
              <w:t>351</w:t>
            </w:r>
            <w:r>
              <w:rPr>
                <w:rFonts w:ascii="Arial" w:eastAsia="Arial" w:hAnsi="Arial" w:cs="Arial"/>
                <w:color w:val="000000"/>
                <w:sz w:val="18"/>
                <w:szCs w:val="18"/>
              </w:rPr>
              <w:t>.</w:t>
            </w:r>
            <w:r w:rsidR="00D5373E">
              <w:rPr>
                <w:rFonts w:ascii="Arial" w:eastAsia="Arial" w:hAnsi="Arial" w:cs="Arial"/>
                <w:color w:val="000000"/>
                <w:sz w:val="18"/>
                <w:szCs w:val="18"/>
              </w:rPr>
              <w:t>7</w:t>
            </w:r>
            <w:r>
              <w:rPr>
                <w:rFonts w:ascii="Arial" w:eastAsia="Arial" w:hAnsi="Arial" w:cs="Arial"/>
                <w:color w:val="000000"/>
                <w:sz w:val="18"/>
                <w:szCs w:val="18"/>
              </w:rPr>
              <w:t>00.000</w:t>
            </w:r>
          </w:p>
        </w:tc>
      </w:tr>
      <w:tr w:rsidR="00572AD5" w14:paraId="078C2B2A" w14:textId="77777777">
        <w:trPr>
          <w:trHeight w:val="314"/>
        </w:trPr>
        <w:tc>
          <w:tcPr>
            <w:tcW w:w="2183" w:type="dxa"/>
            <w:shd w:val="clear" w:color="auto" w:fill="auto"/>
          </w:tcPr>
          <w:p w14:paraId="3843F579" w14:textId="77777777" w:rsidR="00572AD5" w:rsidRDefault="00572AD5">
            <w:pPr>
              <w:pBdr>
                <w:top w:val="nil"/>
                <w:left w:val="nil"/>
                <w:bottom w:val="nil"/>
                <w:right w:val="nil"/>
                <w:between w:val="nil"/>
              </w:pBdr>
              <w:rPr>
                <w:rFonts w:ascii="Arial" w:eastAsia="Arial" w:hAnsi="Arial" w:cs="Arial"/>
                <w:b/>
                <w:color w:val="000000"/>
                <w:sz w:val="18"/>
                <w:szCs w:val="18"/>
                <w:highlight w:val="yellow"/>
              </w:rPr>
            </w:pPr>
          </w:p>
        </w:tc>
        <w:tc>
          <w:tcPr>
            <w:tcW w:w="1403" w:type="dxa"/>
            <w:shd w:val="clear" w:color="auto" w:fill="auto"/>
            <w:vAlign w:val="center"/>
          </w:tcPr>
          <w:p w14:paraId="222CF6BB"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c>
          <w:tcPr>
            <w:tcW w:w="3146" w:type="dxa"/>
            <w:shd w:val="clear" w:color="auto" w:fill="auto"/>
            <w:vAlign w:val="center"/>
          </w:tcPr>
          <w:p w14:paraId="32021A42" w14:textId="77777777" w:rsidR="00572AD5" w:rsidRDefault="00572AD5">
            <w:pPr>
              <w:jc w:val="both"/>
              <w:rPr>
                <w:rFonts w:ascii="Arial" w:eastAsia="Arial" w:hAnsi="Arial" w:cs="Arial"/>
                <w:color w:val="000000"/>
                <w:sz w:val="18"/>
                <w:szCs w:val="18"/>
                <w:highlight w:val="yellow"/>
              </w:rPr>
            </w:pPr>
          </w:p>
        </w:tc>
        <w:tc>
          <w:tcPr>
            <w:tcW w:w="2096" w:type="dxa"/>
            <w:shd w:val="clear" w:color="auto" w:fill="auto"/>
            <w:vAlign w:val="center"/>
          </w:tcPr>
          <w:p w14:paraId="15B623E8"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r>
    </w:tbl>
    <w:p w14:paraId="2760A05C" w14:textId="77777777" w:rsidR="00572AD5" w:rsidRDefault="00572AD5">
      <w:pPr>
        <w:jc w:val="both"/>
        <w:rPr>
          <w:rFonts w:ascii="Arial" w:eastAsia="Arial" w:hAnsi="Arial" w:cs="Arial"/>
          <w:b/>
          <w:color w:val="000000"/>
          <w:sz w:val="18"/>
          <w:szCs w:val="18"/>
          <w:highlight w:val="yellow"/>
        </w:rPr>
      </w:pPr>
    </w:p>
    <w:tbl>
      <w:tblPr>
        <w:tblStyle w:val="ae"/>
        <w:tblW w:w="10915" w:type="dxa"/>
        <w:tblInd w:w="-1139"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000" w:firstRow="0" w:lastRow="0" w:firstColumn="0" w:lastColumn="0" w:noHBand="0" w:noVBand="0"/>
      </w:tblPr>
      <w:tblGrid>
        <w:gridCol w:w="1134"/>
        <w:gridCol w:w="1134"/>
        <w:gridCol w:w="1276"/>
        <w:gridCol w:w="1418"/>
        <w:gridCol w:w="1559"/>
        <w:gridCol w:w="992"/>
        <w:gridCol w:w="1701"/>
        <w:gridCol w:w="1701"/>
      </w:tblGrid>
      <w:tr w:rsidR="00572AD5" w14:paraId="54A43412" w14:textId="77777777">
        <w:trPr>
          <w:trHeight w:val="1277"/>
        </w:trPr>
        <w:tc>
          <w:tcPr>
            <w:tcW w:w="1134" w:type="dxa"/>
            <w:shd w:val="clear" w:color="auto" w:fill="E2EFD9"/>
            <w:vAlign w:val="center"/>
          </w:tcPr>
          <w:p w14:paraId="40F4A271"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Nro. de CDP o Vigencia Futura</w:t>
            </w:r>
          </w:p>
        </w:tc>
        <w:tc>
          <w:tcPr>
            <w:tcW w:w="1134" w:type="dxa"/>
            <w:shd w:val="clear" w:color="auto" w:fill="E2EFD9"/>
            <w:vAlign w:val="center"/>
          </w:tcPr>
          <w:p w14:paraId="0408ABA9"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CDP o Vigencia Futura</w:t>
            </w:r>
          </w:p>
        </w:tc>
        <w:tc>
          <w:tcPr>
            <w:tcW w:w="1276" w:type="dxa"/>
            <w:shd w:val="clear" w:color="auto" w:fill="E2EFD9"/>
            <w:vAlign w:val="center"/>
          </w:tcPr>
          <w:p w14:paraId="5BAE275E"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vencimiento del CDP</w:t>
            </w:r>
          </w:p>
        </w:tc>
        <w:tc>
          <w:tcPr>
            <w:tcW w:w="1418" w:type="dxa"/>
            <w:shd w:val="clear" w:color="auto" w:fill="E2EFD9"/>
            <w:vAlign w:val="center"/>
          </w:tcPr>
          <w:p w14:paraId="43292B19"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Dependencia</w:t>
            </w:r>
          </w:p>
          <w:p w14:paraId="1D6731C8"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559" w:type="dxa"/>
            <w:shd w:val="clear" w:color="auto" w:fill="E2EFD9"/>
            <w:vAlign w:val="center"/>
          </w:tcPr>
          <w:p w14:paraId="1AED7503"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Posición Catálogo de Gasto</w:t>
            </w:r>
          </w:p>
        </w:tc>
        <w:tc>
          <w:tcPr>
            <w:tcW w:w="992" w:type="dxa"/>
            <w:shd w:val="clear" w:color="auto" w:fill="E2EFD9"/>
            <w:vAlign w:val="center"/>
          </w:tcPr>
          <w:p w14:paraId="22AEC623"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Fuente</w:t>
            </w:r>
          </w:p>
          <w:p w14:paraId="25F40296"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1D13EE1D"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Letras</w:t>
            </w:r>
          </w:p>
          <w:p w14:paraId="20A29C2A"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194DB1A1"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Números.</w:t>
            </w:r>
          </w:p>
        </w:tc>
      </w:tr>
      <w:tr w:rsidR="00572AD5" w14:paraId="5F21B203" w14:textId="77777777">
        <w:trPr>
          <w:trHeight w:val="1049"/>
        </w:trPr>
        <w:tc>
          <w:tcPr>
            <w:tcW w:w="1134" w:type="dxa"/>
            <w:shd w:val="clear" w:color="auto" w:fill="E2EFD9"/>
            <w:vAlign w:val="center"/>
          </w:tcPr>
          <w:p w14:paraId="3A6E746D" w14:textId="13FCCCF3" w:rsidR="00572AD5" w:rsidRDefault="00D5373E">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b/>
                <w:color w:val="000000"/>
                <w:sz w:val="16"/>
                <w:szCs w:val="16"/>
              </w:rPr>
              <w:t>7925</w:t>
            </w:r>
          </w:p>
        </w:tc>
        <w:tc>
          <w:tcPr>
            <w:tcW w:w="1134" w:type="dxa"/>
            <w:shd w:val="clear" w:color="auto" w:fill="auto"/>
            <w:vAlign w:val="center"/>
          </w:tcPr>
          <w:p w14:paraId="3A7543ED" w14:textId="044D92FD" w:rsidR="00572AD5" w:rsidRDefault="00D5373E">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01/07/2005</w:t>
            </w:r>
          </w:p>
        </w:tc>
        <w:tc>
          <w:tcPr>
            <w:tcW w:w="1276" w:type="dxa"/>
            <w:shd w:val="clear" w:color="auto" w:fill="E2EFD9"/>
            <w:vAlign w:val="center"/>
          </w:tcPr>
          <w:p w14:paraId="3FBBBC21"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1418" w:type="dxa"/>
            <w:shd w:val="clear" w:color="auto" w:fill="auto"/>
            <w:vAlign w:val="center"/>
          </w:tcPr>
          <w:p w14:paraId="202D2072"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bl>
            <w:tblPr>
              <w:tblStyle w:val="af"/>
              <w:tblW w:w="802" w:type="dxa"/>
              <w:tblInd w:w="15" w:type="dxa"/>
              <w:tblBorders>
                <w:top w:val="nil"/>
                <w:left w:val="nil"/>
                <w:bottom w:val="nil"/>
                <w:right w:val="nil"/>
              </w:tblBorders>
              <w:tblLayout w:type="fixed"/>
              <w:tblLook w:val="0000" w:firstRow="0" w:lastRow="0" w:firstColumn="0" w:lastColumn="0" w:noHBand="0" w:noVBand="0"/>
            </w:tblPr>
            <w:tblGrid>
              <w:gridCol w:w="802"/>
            </w:tblGrid>
            <w:tr w:rsidR="00572AD5" w14:paraId="58A157C1" w14:textId="77777777">
              <w:trPr>
                <w:trHeight w:val="326"/>
              </w:trPr>
              <w:tc>
                <w:tcPr>
                  <w:tcW w:w="802" w:type="dxa"/>
                </w:tcPr>
                <w:p w14:paraId="7E4282D0" w14:textId="16C77FC3" w:rsidR="00572AD5" w:rsidRDefault="00000000">
                  <w:pPr>
                    <w:pBdr>
                      <w:top w:val="nil"/>
                      <w:left w:val="nil"/>
                      <w:bottom w:val="nil"/>
                      <w:right w:val="nil"/>
                      <w:between w:val="nil"/>
                    </w:pBdr>
                    <w:tabs>
                      <w:tab w:val="left" w:pos="599"/>
                    </w:tabs>
                    <w:ind w:right="-47"/>
                    <w:jc w:val="center"/>
                    <w:rPr>
                      <w:rFonts w:ascii="Arial" w:eastAsia="Arial" w:hAnsi="Arial" w:cs="Arial"/>
                      <w:color w:val="000000"/>
                      <w:sz w:val="18"/>
                      <w:szCs w:val="18"/>
                    </w:rPr>
                  </w:pPr>
                  <w:r>
                    <w:rPr>
                      <w:rFonts w:ascii="Arial" w:eastAsia="Arial" w:hAnsi="Arial" w:cs="Arial"/>
                      <w:color w:val="000000"/>
                      <w:sz w:val="18"/>
                      <w:szCs w:val="18"/>
                    </w:rPr>
                    <w:t>91232</w:t>
                  </w:r>
                  <w:r w:rsidR="00523D2F">
                    <w:rPr>
                      <w:rFonts w:ascii="Arial" w:eastAsia="Arial" w:hAnsi="Arial" w:cs="Arial"/>
                      <w:color w:val="000000"/>
                      <w:sz w:val="18"/>
                      <w:szCs w:val="18"/>
                    </w:rPr>
                    <w:t>7</w:t>
                  </w:r>
                </w:p>
              </w:tc>
            </w:tr>
          </w:tbl>
          <w:p w14:paraId="40B05A0F"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c>
        <w:tc>
          <w:tcPr>
            <w:tcW w:w="1559" w:type="dxa"/>
            <w:shd w:val="clear" w:color="auto" w:fill="E2EFD9"/>
            <w:vAlign w:val="center"/>
          </w:tcPr>
          <w:p w14:paraId="487BCE36" w14:textId="1DBB68F7" w:rsidR="00572AD5" w:rsidRDefault="00523D2F">
            <w:pPr>
              <w:pBdr>
                <w:top w:val="nil"/>
                <w:left w:val="nil"/>
                <w:bottom w:val="nil"/>
                <w:right w:val="nil"/>
                <w:between w:val="nil"/>
              </w:pBdr>
              <w:tabs>
                <w:tab w:val="left" w:pos="599"/>
              </w:tabs>
              <w:ind w:right="-47"/>
              <w:jc w:val="center"/>
              <w:rPr>
                <w:rFonts w:ascii="Arial" w:eastAsia="Arial" w:hAnsi="Arial" w:cs="Arial"/>
                <w:color w:val="000000"/>
                <w:sz w:val="18"/>
                <w:szCs w:val="18"/>
              </w:rPr>
            </w:pPr>
            <w:r w:rsidRPr="00523D2F">
              <w:rPr>
                <w:rFonts w:ascii="Arial" w:eastAsia="Arial" w:hAnsi="Arial" w:cs="Arial"/>
                <w:color w:val="000000"/>
                <w:sz w:val="16"/>
                <w:szCs w:val="16"/>
              </w:rPr>
              <w:t>C-3603-1300-20-20305C-3603024-02</w:t>
            </w:r>
          </w:p>
        </w:tc>
        <w:tc>
          <w:tcPr>
            <w:tcW w:w="992" w:type="dxa"/>
            <w:shd w:val="clear" w:color="auto" w:fill="auto"/>
            <w:vAlign w:val="center"/>
          </w:tcPr>
          <w:p w14:paraId="50A2C283" w14:textId="77777777" w:rsidR="00572AD5" w:rsidRDefault="00572AD5">
            <w:pPr>
              <w:pBdr>
                <w:top w:val="nil"/>
                <w:left w:val="nil"/>
                <w:bottom w:val="nil"/>
                <w:right w:val="nil"/>
                <w:between w:val="nil"/>
              </w:pBdr>
              <w:jc w:val="center"/>
              <w:rPr>
                <w:rFonts w:ascii="Arial" w:eastAsia="Arial" w:hAnsi="Arial" w:cs="Arial"/>
                <w:color w:val="000000"/>
                <w:sz w:val="18"/>
                <w:szCs w:val="18"/>
              </w:rPr>
            </w:pPr>
          </w:p>
          <w:p w14:paraId="0F0CEDB7" w14:textId="4110B0E5" w:rsidR="00572AD5" w:rsidRDefault="00523D2F">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NACIÓN</w:t>
            </w:r>
          </w:p>
        </w:tc>
        <w:tc>
          <w:tcPr>
            <w:tcW w:w="1701" w:type="dxa"/>
            <w:shd w:val="clear" w:color="auto" w:fill="E2EFD9"/>
            <w:vAlign w:val="center"/>
          </w:tcPr>
          <w:p w14:paraId="7E083BF3"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DOSCIENTO CINCO MILLONES DE PESOS MCTE</w:t>
            </w:r>
          </w:p>
        </w:tc>
        <w:tc>
          <w:tcPr>
            <w:tcW w:w="1701" w:type="dxa"/>
            <w:shd w:val="clear" w:color="auto" w:fill="auto"/>
            <w:vAlign w:val="center"/>
          </w:tcPr>
          <w:p w14:paraId="1CF0DB81" w14:textId="035F5873" w:rsidR="00572AD5" w:rsidRDefault="00523D2F">
            <w:pPr>
              <w:pBdr>
                <w:top w:val="nil"/>
                <w:left w:val="nil"/>
                <w:bottom w:val="nil"/>
                <w:right w:val="nil"/>
                <w:between w:val="nil"/>
              </w:pBdr>
              <w:jc w:val="right"/>
              <w:rPr>
                <w:rFonts w:ascii="Arial" w:eastAsia="Arial" w:hAnsi="Arial" w:cs="Arial"/>
                <w:color w:val="000000"/>
                <w:sz w:val="18"/>
                <w:szCs w:val="18"/>
              </w:rPr>
            </w:pPr>
            <w:r>
              <w:rPr>
                <w:rFonts w:ascii="Arial" w:eastAsia="Arial" w:hAnsi="Arial" w:cs="Arial"/>
                <w:color w:val="000000"/>
                <w:sz w:val="18"/>
                <w:szCs w:val="18"/>
              </w:rPr>
              <w:t>$351.700.000</w:t>
            </w:r>
          </w:p>
        </w:tc>
      </w:tr>
    </w:tbl>
    <w:p w14:paraId="65368226" w14:textId="77777777" w:rsidR="00572AD5" w:rsidRDefault="00000000" w:rsidP="002C6D1E">
      <w:pPr>
        <w:numPr>
          <w:ilvl w:val="0"/>
          <w:numId w:val="27"/>
        </w:numPr>
        <w:pBdr>
          <w:top w:val="nil"/>
          <w:left w:val="nil"/>
          <w:bottom w:val="nil"/>
          <w:right w:val="nil"/>
          <w:between w:val="nil"/>
        </w:pBdr>
        <w:tabs>
          <w:tab w:val="left" w:pos="0"/>
          <w:tab w:val="left" w:pos="284"/>
        </w:tabs>
        <w:jc w:val="both"/>
        <w:rPr>
          <w:rFonts w:ascii="Arial" w:eastAsia="Arial" w:hAnsi="Arial" w:cs="Arial"/>
          <w:b/>
          <w:color w:val="000000"/>
          <w:sz w:val="22"/>
          <w:szCs w:val="22"/>
        </w:rPr>
      </w:pPr>
      <w:r>
        <w:rPr>
          <w:rFonts w:ascii="Arial" w:eastAsia="Arial" w:hAnsi="Arial" w:cs="Arial"/>
          <w:b/>
          <w:color w:val="000000"/>
          <w:sz w:val="22"/>
          <w:szCs w:val="22"/>
        </w:rPr>
        <w:lastRenderedPageBreak/>
        <w:t>ANALISIS DE CAPACIDAD FINANCIERA Y ORGANIZACIONAL</w:t>
      </w:r>
    </w:p>
    <w:p w14:paraId="772BDE24" w14:textId="77777777" w:rsidR="00572AD5" w:rsidRDefault="00572AD5">
      <w:pPr>
        <w:pBdr>
          <w:top w:val="nil"/>
          <w:left w:val="nil"/>
          <w:bottom w:val="nil"/>
          <w:right w:val="nil"/>
          <w:between w:val="nil"/>
        </w:pBdr>
        <w:tabs>
          <w:tab w:val="left" w:pos="0"/>
          <w:tab w:val="left" w:pos="284"/>
        </w:tabs>
        <w:ind w:left="460"/>
        <w:jc w:val="both"/>
        <w:rPr>
          <w:rFonts w:ascii="Arial" w:eastAsia="Arial" w:hAnsi="Arial" w:cs="Arial"/>
          <w:b/>
          <w:color w:val="000000"/>
          <w:sz w:val="22"/>
          <w:szCs w:val="22"/>
        </w:rPr>
      </w:pPr>
    </w:p>
    <w:p w14:paraId="68F61252" w14:textId="77777777" w:rsidR="00572AD5" w:rsidRDefault="00000000">
      <w:pPr>
        <w:pBdr>
          <w:top w:val="nil"/>
          <w:left w:val="nil"/>
          <w:bottom w:val="nil"/>
          <w:right w:val="nil"/>
          <w:between w:val="nil"/>
        </w:pBdr>
        <w:tabs>
          <w:tab w:val="left" w:pos="0"/>
          <w:tab w:val="left" w:pos="284"/>
        </w:tabs>
        <w:jc w:val="both"/>
        <w:rPr>
          <w:rFonts w:ascii="Arial" w:eastAsia="Arial" w:hAnsi="Arial" w:cs="Arial"/>
          <w:color w:val="000000"/>
          <w:sz w:val="22"/>
          <w:szCs w:val="22"/>
        </w:rPr>
      </w:pPr>
      <w:r>
        <w:rPr>
          <w:rFonts w:ascii="Arial" w:eastAsia="Arial" w:hAnsi="Arial" w:cs="Arial"/>
          <w:color w:val="000000"/>
          <w:sz w:val="22"/>
          <w:szCs w:val="22"/>
        </w:rPr>
        <w:t>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14:paraId="4329CEBF" w14:textId="77777777" w:rsidR="00572AD5" w:rsidRDefault="00572AD5">
      <w:pPr>
        <w:pBdr>
          <w:top w:val="nil"/>
          <w:left w:val="nil"/>
          <w:bottom w:val="nil"/>
          <w:right w:val="nil"/>
          <w:between w:val="nil"/>
        </w:pBdr>
        <w:tabs>
          <w:tab w:val="left" w:pos="0"/>
          <w:tab w:val="left" w:pos="284"/>
        </w:tabs>
        <w:jc w:val="both"/>
        <w:rPr>
          <w:rFonts w:ascii="Arial" w:eastAsia="Arial" w:hAnsi="Arial" w:cs="Arial"/>
          <w:color w:val="000000"/>
          <w:sz w:val="22"/>
          <w:szCs w:val="22"/>
        </w:rPr>
      </w:pPr>
    </w:p>
    <w:p w14:paraId="35ED5200" w14:textId="77777777" w:rsidR="00572AD5" w:rsidRDefault="00000000">
      <w:pPr>
        <w:pBdr>
          <w:top w:val="nil"/>
          <w:left w:val="nil"/>
          <w:bottom w:val="nil"/>
          <w:right w:val="nil"/>
          <w:between w:val="nil"/>
        </w:pBdr>
        <w:spacing w:before="231" w:after="120" w:line="259" w:lineRule="auto"/>
        <w:ind w:right="317"/>
        <w:rPr>
          <w:rFonts w:ascii="Arial" w:eastAsia="Arial" w:hAnsi="Arial" w:cs="Arial"/>
          <w:b/>
          <w:color w:val="000000"/>
          <w:sz w:val="22"/>
          <w:szCs w:val="22"/>
        </w:rPr>
      </w:pPr>
      <w:r>
        <w:rPr>
          <w:rFonts w:ascii="Arial" w:eastAsia="Arial" w:hAnsi="Arial" w:cs="Arial"/>
          <w:b/>
          <w:color w:val="000000"/>
          <w:sz w:val="22"/>
          <w:szCs w:val="22"/>
        </w:rPr>
        <w:t xml:space="preserve">ANALISIS DE CAPACIDAD FINANCIERA </w:t>
      </w:r>
    </w:p>
    <w:p w14:paraId="6C6F90F4" w14:textId="77777777" w:rsidR="00572AD5" w:rsidRDefault="00000000">
      <w:pPr>
        <w:pBdr>
          <w:top w:val="nil"/>
          <w:left w:val="nil"/>
          <w:bottom w:val="nil"/>
          <w:right w:val="nil"/>
          <w:between w:val="nil"/>
        </w:pBdr>
        <w:spacing w:before="231" w:after="120" w:line="259" w:lineRule="auto"/>
        <w:ind w:right="317"/>
        <w:jc w:val="both"/>
        <w:rPr>
          <w:rFonts w:ascii="Arial" w:eastAsia="Arial" w:hAnsi="Arial" w:cs="Arial"/>
          <w:color w:val="000000"/>
          <w:sz w:val="22"/>
          <w:szCs w:val="22"/>
        </w:rPr>
      </w:pPr>
      <w:r>
        <w:rPr>
          <w:rFonts w:ascii="Arial" w:eastAsia="Arial" w:hAnsi="Arial" w:cs="Arial"/>
          <w:color w:val="000000"/>
          <w:sz w:val="22"/>
          <w:szCs w:val="22"/>
        </w:rPr>
        <w:t>Los indicadores de capacidad financiera buscan establecer unas condiciones mínimas que reflejan la salud financiera de los proponentes a través de su liquidez y endeudamiento. Estas condiciones muestran la aptitud del proponente para cumplir oportuna y cabalmente el objeto del contrato La capacidad financiera requerida en un Proceso de Contratación debe ser adecuada y proporcional a la naturaleza y al valor del contrato. En consecuencia, se establecen los requisitos de capacidad financiera con base en su conocimiento del sector relativo al objeto del Proceso de Contratación y de los posibles oferentes.</w:t>
      </w:r>
    </w:p>
    <w:p w14:paraId="0F18E15F" w14:textId="77777777" w:rsidR="00572AD5" w:rsidRDefault="00000000">
      <w:pPr>
        <w:pBdr>
          <w:top w:val="nil"/>
          <w:left w:val="nil"/>
          <w:bottom w:val="nil"/>
          <w:right w:val="nil"/>
          <w:between w:val="nil"/>
        </w:pBdr>
        <w:spacing w:before="231" w:after="120" w:line="259" w:lineRule="auto"/>
        <w:ind w:right="317"/>
        <w:jc w:val="both"/>
        <w:rPr>
          <w:rFonts w:ascii="Arial" w:eastAsia="Arial" w:hAnsi="Arial" w:cs="Arial"/>
          <w:b/>
          <w:color w:val="000000"/>
          <w:sz w:val="22"/>
          <w:szCs w:val="22"/>
        </w:rPr>
      </w:pPr>
      <w:r>
        <w:rPr>
          <w:rFonts w:ascii="Arial" w:eastAsia="Arial" w:hAnsi="Arial" w:cs="Arial"/>
          <w:color w:val="000000"/>
          <w:sz w:val="22"/>
          <w:szCs w:val="22"/>
        </w:rPr>
        <w:t>En atención a la naturaleza del contrato a suscribir y de su valor, plazo y forma de pago, se establece el uso de los indicadores que se consideran adecuados respecto al objeto del Proceso de Contratación sin limitarse a determinar y aplicar de forma mecánica fórmulas financieras para determinar los indicadores. Deben conocer cada indicador, sus fórmulas de cálculo y su interpretación</w:t>
      </w:r>
    </w:p>
    <w:p w14:paraId="488AAF63"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sz w:val="22"/>
          <w:szCs w:val="22"/>
        </w:rPr>
      </w:pPr>
      <w:r>
        <w:rPr>
          <w:rFonts w:ascii="Arial" w:eastAsia="Arial" w:hAnsi="Arial" w:cs="Arial"/>
          <w:color w:val="000000"/>
          <w:sz w:val="22"/>
          <w:szCs w:val="22"/>
        </w:rPr>
        <w:t xml:space="preserve">Los indicadores de capacidad financiera contenidos en el artículo 2.2.1.1.1.5.3 del Decreto 1082 de 2015 son: </w:t>
      </w:r>
    </w:p>
    <w:p w14:paraId="0B773372"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b/>
          <w:color w:val="000000"/>
          <w:sz w:val="22"/>
          <w:szCs w:val="22"/>
        </w:rPr>
        <w:t>ÍNDICE DE LIQUIDEZ</w:t>
      </w:r>
      <w:r>
        <w:rPr>
          <w:rFonts w:ascii="Arial" w:eastAsia="Arial" w:hAnsi="Arial" w:cs="Arial"/>
          <w:color w:val="000000"/>
          <w:sz w:val="22"/>
          <w:szCs w:val="22"/>
        </w:rPr>
        <w:t xml:space="preserve"> = </w:t>
      </w:r>
      <w:r>
        <w:rPr>
          <w:rFonts w:ascii="Arial" w:eastAsia="Arial" w:hAnsi="Arial" w:cs="Arial"/>
          <w:b/>
          <w:color w:val="000000"/>
          <w:sz w:val="22"/>
          <w:szCs w:val="22"/>
        </w:rPr>
        <w:t>Activo Corriente / Pasivo Corriente</w:t>
      </w:r>
    </w:p>
    <w:p w14:paraId="76FD6504"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sz w:val="22"/>
          <w:szCs w:val="22"/>
        </w:rPr>
      </w:pPr>
      <w:r>
        <w:rPr>
          <w:rFonts w:ascii="Arial" w:eastAsia="Arial" w:hAnsi="Arial" w:cs="Arial"/>
          <w:color w:val="000000"/>
          <w:sz w:val="22"/>
          <w:szCs w:val="22"/>
        </w:rPr>
        <w:t>Determina la capacidad que tiene un proponente para cumplir con sus obligaciones de corto plazo. A mayor índice de liquidez, menor es la probabilidad de que el proponente incumpla sus obligaciones de corto plazo. El </w:t>
      </w:r>
      <w:r>
        <w:rPr>
          <w:rFonts w:ascii="Arial" w:eastAsia="Arial" w:hAnsi="Arial" w:cs="Arial"/>
          <w:b/>
          <w:color w:val="000000"/>
          <w:sz w:val="22"/>
          <w:szCs w:val="22"/>
        </w:rPr>
        <w:t>nivel óptimo del índice de liquidez </w:t>
      </w:r>
      <w:r>
        <w:rPr>
          <w:rFonts w:ascii="Arial" w:eastAsia="Arial" w:hAnsi="Arial" w:cs="Arial"/>
          <w:color w:val="000000"/>
          <w:sz w:val="22"/>
          <w:szCs w:val="22"/>
        </w:rPr>
        <w:t>se encuentra</w:t>
      </w:r>
      <w:r>
        <w:rPr>
          <w:rFonts w:ascii="Arial" w:eastAsia="Arial" w:hAnsi="Arial" w:cs="Arial"/>
          <w:b/>
          <w:color w:val="000000"/>
          <w:sz w:val="22"/>
          <w:szCs w:val="22"/>
        </w:rPr>
        <w:t> entre 1 y 2</w:t>
      </w:r>
      <w:r>
        <w:rPr>
          <w:rFonts w:ascii="Arial" w:eastAsia="Arial" w:hAnsi="Arial" w:cs="Arial"/>
          <w:color w:val="000000"/>
          <w:sz w:val="22"/>
          <w:szCs w:val="22"/>
        </w:rPr>
        <w:t xml:space="preserve">, y significa que el activo corriente es mayor que el pasivo corriente, por lo cual se considera que la empresa cuenta con una buena posición de liquidez para afrontar sus pagos en el corto plazo.  Para el presente proceso, el índice de liquidez debe ser </w:t>
      </w:r>
      <w:r>
        <w:rPr>
          <w:rFonts w:ascii="Arial" w:eastAsia="Arial" w:hAnsi="Arial" w:cs="Arial"/>
          <w:b/>
          <w:color w:val="000000"/>
          <w:sz w:val="22"/>
          <w:szCs w:val="22"/>
        </w:rPr>
        <w:t>mayor o igual a 1,67</w:t>
      </w:r>
    </w:p>
    <w:p w14:paraId="72194B07"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b/>
          <w:color w:val="000000"/>
          <w:sz w:val="22"/>
          <w:szCs w:val="22"/>
        </w:rPr>
        <w:t>ÍNDICE DE ENDEUDAMIENTO</w:t>
      </w:r>
      <w:r>
        <w:rPr>
          <w:rFonts w:ascii="Arial" w:eastAsia="Arial" w:hAnsi="Arial" w:cs="Arial"/>
          <w:color w:val="000000"/>
          <w:sz w:val="22"/>
          <w:szCs w:val="22"/>
        </w:rPr>
        <w:t xml:space="preserve"> = </w:t>
      </w:r>
      <w:r>
        <w:rPr>
          <w:rFonts w:ascii="Arial" w:eastAsia="Arial" w:hAnsi="Arial" w:cs="Arial"/>
          <w:b/>
          <w:color w:val="000000"/>
          <w:sz w:val="22"/>
          <w:szCs w:val="22"/>
        </w:rPr>
        <w:t>Pasivo Total / Activo Total</w:t>
      </w:r>
    </w:p>
    <w:p w14:paraId="4F60400E"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color w:val="000000"/>
          <w:sz w:val="22"/>
          <w:szCs w:val="22"/>
        </w:rPr>
        <w:lastRenderedPageBreak/>
        <w:t xml:space="preserve">Determina el grado de endeudamiento en la estructura de financiación (pasivos y patrimonio) del proponente. A mayor índice de endeudamiento, mayor es la probabilidad del proponente de no poder cumplir con sus pasivos. Este indicador analiza el porcentaje o grado de participación de la totalidad de acreedores dentro de la empresa, sin discriminación alguna del tipo de acreedor: proveedores de materias primas, el Gobierno Nacional (impuestos pendientes de pago), entidades financieras, colaboradores, los mismos socios en calidad de prestamistas (cuando éstos conceden créditos a la empresa por fuera de los aportes de capital), entre otros. Un nivel de endeudamiento total superior a 100% indica que la empresa tiene mayores deudas respecto a sus activos, lo cual puede ser sinónimo de una bancarrota si no te toman las decisiones correctivas necesarias.  Para el presente proceso, el índice de endeudamiento debe ser </w:t>
      </w:r>
      <w:r>
        <w:rPr>
          <w:rFonts w:ascii="Arial" w:eastAsia="Arial" w:hAnsi="Arial" w:cs="Arial"/>
          <w:b/>
          <w:color w:val="000000"/>
          <w:sz w:val="22"/>
          <w:szCs w:val="22"/>
        </w:rPr>
        <w:t>menor o igual a 0.54, equivalente al 54%.</w:t>
      </w:r>
    </w:p>
    <w:p w14:paraId="3A86444F" w14:textId="77777777" w:rsidR="00572AD5" w:rsidRDefault="00000000">
      <w:pPr>
        <w:pBdr>
          <w:top w:val="nil"/>
          <w:left w:val="nil"/>
          <w:bottom w:val="nil"/>
          <w:right w:val="nil"/>
          <w:between w:val="nil"/>
        </w:pBdr>
        <w:shd w:val="clear" w:color="auto" w:fill="FFFFFF"/>
        <w:spacing w:before="240" w:after="240"/>
        <w:ind w:left="142"/>
        <w:jc w:val="both"/>
        <w:rPr>
          <w:rFonts w:ascii="Arial" w:eastAsia="Arial" w:hAnsi="Arial" w:cs="Arial"/>
          <w:b/>
          <w:color w:val="000000"/>
          <w:sz w:val="22"/>
          <w:szCs w:val="22"/>
        </w:rPr>
      </w:pPr>
      <w:r>
        <w:rPr>
          <w:rFonts w:ascii="Arial" w:eastAsia="Arial" w:hAnsi="Arial" w:cs="Arial"/>
          <w:b/>
          <w:color w:val="000000"/>
          <w:sz w:val="22"/>
          <w:szCs w:val="22"/>
        </w:rPr>
        <w:t>RAZÓN DE COBERTURA DE INTERESES</w:t>
      </w:r>
      <w:r>
        <w:rPr>
          <w:rFonts w:ascii="Arial" w:eastAsia="Arial" w:hAnsi="Arial" w:cs="Arial"/>
          <w:color w:val="000000"/>
          <w:sz w:val="22"/>
          <w:szCs w:val="22"/>
        </w:rPr>
        <w:t xml:space="preserve"> = </w:t>
      </w:r>
      <w:r>
        <w:rPr>
          <w:rFonts w:ascii="Arial" w:eastAsia="Arial" w:hAnsi="Arial" w:cs="Arial"/>
          <w:b/>
          <w:color w:val="000000"/>
          <w:sz w:val="22"/>
          <w:szCs w:val="22"/>
        </w:rPr>
        <w:t>Utilidad Operacional / Gastos de Intereses.</w:t>
      </w:r>
    </w:p>
    <w:p w14:paraId="4BF761C4" w14:textId="77777777" w:rsidR="00572AD5" w:rsidRDefault="00000000">
      <w:pPr>
        <w:pBdr>
          <w:top w:val="nil"/>
          <w:left w:val="nil"/>
          <w:bottom w:val="nil"/>
          <w:right w:val="nil"/>
          <w:between w:val="nil"/>
        </w:pBdr>
        <w:shd w:val="clear" w:color="auto" w:fill="FFFFFF"/>
        <w:spacing w:before="240" w:after="240"/>
        <w:ind w:left="142"/>
        <w:jc w:val="both"/>
        <w:rPr>
          <w:rFonts w:ascii="Arial" w:eastAsia="Arial" w:hAnsi="Arial" w:cs="Arial"/>
          <w:color w:val="000000"/>
          <w:sz w:val="22"/>
          <w:szCs w:val="22"/>
        </w:rPr>
      </w:pPr>
      <w:r>
        <w:rPr>
          <w:rFonts w:ascii="Arial" w:eastAsia="Arial" w:hAnsi="Arial" w:cs="Arial"/>
          <w:color w:val="000000"/>
          <w:sz w:val="22"/>
          <w:szCs w:val="22"/>
        </w:rPr>
        <w:t xml:space="preserve">Refleja la capacidad del proponente de cumplir con sus obligaciones financieras. A mayor cobertura de intereses, menor es la probabilidad de que el proponente incumpla sus obligaciones financieras. Comunica la capacidad de una empresa para cubrir los costos de intereses de sus deudas durante un período determinado.  Cuan mayores valores positivos obtengamos de este indicador, mayor será la capacidad del proponente para hacer frente al costo de intereses. Para el presente proceso, la razón de Cobertura de intereses debe ser </w:t>
      </w:r>
      <w:r>
        <w:rPr>
          <w:rFonts w:ascii="Arial" w:eastAsia="Arial" w:hAnsi="Arial" w:cs="Arial"/>
          <w:b/>
          <w:color w:val="000000"/>
          <w:sz w:val="22"/>
          <w:szCs w:val="22"/>
        </w:rPr>
        <w:t>mayor o igual a 1.</w:t>
      </w:r>
    </w:p>
    <w:p w14:paraId="6C6E7896" w14:textId="77777777" w:rsidR="00572AD5" w:rsidRDefault="00000000">
      <w:pPr>
        <w:pStyle w:val="Ttulo2"/>
        <w:shd w:val="clear" w:color="auto" w:fill="FFFFFF"/>
        <w:jc w:val="both"/>
        <w:rPr>
          <w:rFonts w:ascii="Arial" w:eastAsia="Arial" w:hAnsi="Arial" w:cs="Arial"/>
          <w:color w:val="000000"/>
          <w:sz w:val="22"/>
          <w:szCs w:val="22"/>
        </w:rPr>
      </w:pPr>
      <w:r>
        <w:rPr>
          <w:rFonts w:ascii="Arial" w:eastAsia="Arial" w:hAnsi="Arial" w:cs="Arial"/>
          <w:color w:val="000000"/>
          <w:sz w:val="22"/>
          <w:szCs w:val="22"/>
        </w:rPr>
        <w:t>La siguiente tabla muestra la interpretación de cada uno de los indicadores de capacidad financiera que debe contener el RUP y su relación con la probabilidad de Riesgo:</w:t>
      </w:r>
    </w:p>
    <w:p w14:paraId="65151145"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rPr>
      </w:pPr>
      <w:r>
        <w:rPr>
          <w:rFonts w:ascii="Arial" w:eastAsia="Arial" w:hAnsi="Arial" w:cs="Arial"/>
          <w:noProof/>
          <w:color w:val="000000"/>
        </w:rPr>
        <w:drawing>
          <wp:inline distT="0" distB="0" distL="0" distR="0" wp14:anchorId="12F4E7FB" wp14:editId="587445B3">
            <wp:extent cx="5766087" cy="1831477"/>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2"/>
                    <a:srcRect t="17717"/>
                    <a:stretch>
                      <a:fillRect/>
                    </a:stretch>
                  </pic:blipFill>
                  <pic:spPr>
                    <a:xfrm>
                      <a:off x="0" y="0"/>
                      <a:ext cx="5766087" cy="1831477"/>
                    </a:xfrm>
                    <a:prstGeom prst="rect">
                      <a:avLst/>
                    </a:prstGeom>
                    <a:ln/>
                  </pic:spPr>
                </pic:pic>
              </a:graphicData>
            </a:graphic>
          </wp:inline>
        </w:drawing>
      </w:r>
    </w:p>
    <w:p w14:paraId="74446ACA" w14:textId="77777777" w:rsidR="00572AD5" w:rsidRDefault="00000000">
      <w:pPr>
        <w:widowControl w:val="0"/>
        <w:pBdr>
          <w:top w:val="nil"/>
          <w:left w:val="nil"/>
          <w:bottom w:val="nil"/>
          <w:right w:val="nil"/>
          <w:between w:val="nil"/>
        </w:pBdr>
        <w:spacing w:before="231"/>
        <w:ind w:right="317"/>
        <w:jc w:val="both"/>
        <w:rPr>
          <w:rFonts w:ascii="Arial" w:eastAsia="Arial" w:hAnsi="Arial" w:cs="Arial"/>
          <w:b/>
          <w:color w:val="000000"/>
          <w:sz w:val="22"/>
          <w:szCs w:val="22"/>
        </w:rPr>
      </w:pPr>
      <w:r>
        <w:rPr>
          <w:rFonts w:ascii="Arial" w:eastAsia="Arial" w:hAnsi="Arial" w:cs="Arial"/>
          <w:b/>
          <w:color w:val="000000"/>
          <w:sz w:val="22"/>
          <w:szCs w:val="22"/>
        </w:rPr>
        <w:t>ANALISIS DE CAPACIDAD ORGANIZACIÓNAL</w:t>
      </w:r>
    </w:p>
    <w:p w14:paraId="7FC1C8B5"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 xml:space="preserve">La determinación de cada requisito habilitante está enmarcada en el análisis y el concepto de lo que mide el indicador. Si el indicador representa una mayor probabilidad de Riesgo a medida que su valor es mayor, se fija un valor máximo para el requisito habilitante. Si el indicador representa una menor probabilidad de Riesgo a medida que su valor es mayor, se fija un mínimo. La siguiente tabla muestra la interpretación de cada </w:t>
      </w:r>
      <w:r>
        <w:rPr>
          <w:rFonts w:ascii="Arial" w:eastAsia="Arial" w:hAnsi="Arial" w:cs="Arial"/>
          <w:color w:val="000000"/>
          <w:sz w:val="22"/>
          <w:szCs w:val="22"/>
        </w:rPr>
        <w:lastRenderedPageBreak/>
        <w:t>uno de los indicadores de capacidad organizacional que debe contener el RUP y su relación con la probabilidad del Riesgo:</w:t>
      </w:r>
      <w:r>
        <w:rPr>
          <w:noProof/>
        </w:rPr>
        <w:drawing>
          <wp:anchor distT="0" distB="0" distL="114300" distR="114300" simplePos="0" relativeHeight="251670528" behindDoc="0" locked="0" layoutInCell="1" hidden="0" allowOverlap="1" wp14:anchorId="7FA2C2BC" wp14:editId="221596EB">
            <wp:simplePos x="0" y="0"/>
            <wp:positionH relativeFrom="column">
              <wp:posOffset>-55243</wp:posOffset>
            </wp:positionH>
            <wp:positionV relativeFrom="paragraph">
              <wp:posOffset>1393190</wp:posOffset>
            </wp:positionV>
            <wp:extent cx="5686425" cy="1338659"/>
            <wp:effectExtent l="0" t="0" r="0" b="0"/>
            <wp:wrapSquare wrapText="bothSides" distT="0" distB="0" distL="114300" distR="114300"/>
            <wp:docPr id="18" name="image18.png"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8.png" descr="Interfaz de usuario gráfica, Texto, Aplicación&#10;&#10;Descripción generada automáticamente"/>
                    <pic:cNvPicPr preferRelativeResize="0"/>
                  </pic:nvPicPr>
                  <pic:blipFill>
                    <a:blip r:embed="rId73"/>
                    <a:srcRect/>
                    <a:stretch>
                      <a:fillRect/>
                    </a:stretch>
                  </pic:blipFill>
                  <pic:spPr>
                    <a:xfrm>
                      <a:off x="0" y="0"/>
                      <a:ext cx="5686425" cy="1338659"/>
                    </a:xfrm>
                    <a:prstGeom prst="rect">
                      <a:avLst/>
                    </a:prstGeom>
                    <a:ln/>
                  </pic:spPr>
                </pic:pic>
              </a:graphicData>
            </a:graphic>
          </wp:anchor>
        </w:drawing>
      </w:r>
    </w:p>
    <w:p w14:paraId="483DB560"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Los indicadores de capacidad organizacional contenidos en el artículo 2.2.1.1.1.5.3 del Decreto 1082 de 2015 son:</w:t>
      </w:r>
    </w:p>
    <w:p w14:paraId="0263F3D4" w14:textId="77777777" w:rsidR="00572AD5" w:rsidRDefault="00000000">
      <w:pPr>
        <w:pBdr>
          <w:top w:val="nil"/>
          <w:left w:val="nil"/>
          <w:bottom w:val="nil"/>
          <w:right w:val="nil"/>
          <w:between w:val="nil"/>
        </w:pBdr>
        <w:spacing w:before="231" w:after="120"/>
        <w:ind w:right="317"/>
        <w:jc w:val="both"/>
        <w:rPr>
          <w:rFonts w:ascii="Arial" w:eastAsia="Arial" w:hAnsi="Arial" w:cs="Arial"/>
          <w:b/>
          <w:color w:val="000000"/>
          <w:sz w:val="22"/>
          <w:szCs w:val="22"/>
        </w:rPr>
      </w:pPr>
      <w:r>
        <w:rPr>
          <w:rFonts w:ascii="Arial" w:eastAsia="Arial" w:hAnsi="Arial" w:cs="Arial"/>
          <w:b/>
          <w:color w:val="000000"/>
          <w:sz w:val="22"/>
          <w:szCs w:val="22"/>
        </w:rPr>
        <w:t>RENTABILIDAD SOBRE PATRIMONIO:</w:t>
      </w:r>
      <w:r>
        <w:rPr>
          <w:rFonts w:ascii="Arial" w:eastAsia="Arial" w:hAnsi="Arial" w:cs="Arial"/>
          <w:color w:val="000000"/>
          <w:sz w:val="22"/>
          <w:szCs w:val="22"/>
        </w:rPr>
        <w:t xml:space="preserve"> </w:t>
      </w:r>
      <w:r>
        <w:rPr>
          <w:rFonts w:ascii="Arial" w:eastAsia="Arial" w:hAnsi="Arial" w:cs="Arial"/>
          <w:b/>
          <w:color w:val="000000"/>
          <w:sz w:val="22"/>
          <w:szCs w:val="22"/>
        </w:rPr>
        <w:t>Utilidad Operacional / Patrimonio.</w:t>
      </w:r>
    </w:p>
    <w:p w14:paraId="4F8DB839"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 xml:space="preserve">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  Para el presente proceso, la rentabilidad sobre el patrimonio debe ser </w:t>
      </w:r>
      <w:r>
        <w:rPr>
          <w:rFonts w:ascii="Arial" w:eastAsia="Arial" w:hAnsi="Arial" w:cs="Arial"/>
          <w:b/>
          <w:color w:val="000000"/>
          <w:sz w:val="22"/>
          <w:szCs w:val="22"/>
        </w:rPr>
        <w:t>mayor o igual a 0,08.</w:t>
      </w:r>
    </w:p>
    <w:p w14:paraId="0AE142FF" w14:textId="77777777" w:rsidR="00572AD5" w:rsidRDefault="00000000">
      <w:pPr>
        <w:pBdr>
          <w:top w:val="nil"/>
          <w:left w:val="nil"/>
          <w:bottom w:val="nil"/>
          <w:right w:val="nil"/>
          <w:between w:val="nil"/>
        </w:pBdr>
        <w:spacing w:before="231" w:after="120"/>
        <w:ind w:right="317"/>
        <w:jc w:val="both"/>
        <w:rPr>
          <w:rFonts w:ascii="Arial" w:eastAsia="Arial" w:hAnsi="Arial" w:cs="Arial"/>
          <w:b/>
          <w:color w:val="000000"/>
          <w:sz w:val="22"/>
          <w:szCs w:val="22"/>
        </w:rPr>
      </w:pPr>
      <w:r>
        <w:rPr>
          <w:rFonts w:ascii="Arial" w:eastAsia="Arial" w:hAnsi="Arial" w:cs="Arial"/>
          <w:b/>
          <w:color w:val="000000"/>
          <w:sz w:val="22"/>
          <w:szCs w:val="22"/>
        </w:rPr>
        <w:t>RENTABILIDAD SOBRE ACTIVOS:</w:t>
      </w:r>
      <w:r>
        <w:rPr>
          <w:rFonts w:ascii="Arial" w:eastAsia="Arial" w:hAnsi="Arial" w:cs="Arial"/>
          <w:color w:val="000000"/>
          <w:sz w:val="22"/>
          <w:szCs w:val="22"/>
        </w:rPr>
        <w:t xml:space="preserve"> </w:t>
      </w:r>
      <w:r>
        <w:rPr>
          <w:rFonts w:ascii="Arial" w:eastAsia="Arial" w:hAnsi="Arial" w:cs="Arial"/>
          <w:b/>
          <w:color w:val="000000"/>
          <w:sz w:val="22"/>
          <w:szCs w:val="22"/>
        </w:rPr>
        <w:t>Utilidad Operacional / Activo Total.</w:t>
      </w:r>
    </w:p>
    <w:p w14:paraId="7ED3E469"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 xml:space="preserve">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Para el presente proceso, la rentabilidad sobre activos debe ser </w:t>
      </w:r>
      <w:r>
        <w:rPr>
          <w:rFonts w:ascii="Arial" w:eastAsia="Arial" w:hAnsi="Arial" w:cs="Arial"/>
          <w:b/>
          <w:color w:val="000000"/>
          <w:sz w:val="22"/>
          <w:szCs w:val="22"/>
        </w:rPr>
        <w:t>mayor o igual a 0,06.</w:t>
      </w:r>
    </w:p>
    <w:p w14:paraId="21EE7DB1"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14:paraId="5558B85B" w14:textId="77777777" w:rsidR="00572AD5" w:rsidRDefault="00572AD5">
      <w:pPr>
        <w:pBdr>
          <w:top w:val="nil"/>
          <w:left w:val="nil"/>
          <w:bottom w:val="nil"/>
          <w:right w:val="nil"/>
          <w:between w:val="nil"/>
        </w:pBdr>
        <w:spacing w:after="120"/>
        <w:ind w:right="318"/>
        <w:rPr>
          <w:rFonts w:ascii="Arial" w:eastAsia="Arial" w:hAnsi="Arial" w:cs="Arial"/>
          <w:color w:val="000000"/>
          <w:sz w:val="22"/>
          <w:szCs w:val="22"/>
          <w:highlight w:val="darkCyan"/>
        </w:rPr>
      </w:pPr>
    </w:p>
    <w:p w14:paraId="3077F7CA" w14:textId="77777777" w:rsidR="00523D2F" w:rsidRDefault="00523D2F">
      <w:pPr>
        <w:pBdr>
          <w:top w:val="nil"/>
          <w:left w:val="nil"/>
          <w:bottom w:val="nil"/>
          <w:right w:val="nil"/>
          <w:between w:val="nil"/>
        </w:pBdr>
        <w:spacing w:after="120"/>
        <w:ind w:right="318"/>
        <w:rPr>
          <w:rFonts w:ascii="Arial" w:eastAsia="Arial" w:hAnsi="Arial" w:cs="Arial"/>
          <w:color w:val="000000"/>
          <w:sz w:val="22"/>
          <w:szCs w:val="22"/>
          <w:highlight w:val="darkCyan"/>
        </w:rPr>
      </w:pPr>
    </w:p>
    <w:p w14:paraId="47A558B8" w14:textId="77777777" w:rsidR="00572AD5" w:rsidRDefault="00000000">
      <w:pPr>
        <w:pBdr>
          <w:top w:val="nil"/>
          <w:left w:val="nil"/>
          <w:bottom w:val="nil"/>
          <w:right w:val="nil"/>
          <w:between w:val="nil"/>
        </w:pBdr>
        <w:spacing w:after="120"/>
        <w:ind w:right="318"/>
        <w:rPr>
          <w:rFonts w:ascii="Arial" w:eastAsia="Arial" w:hAnsi="Arial" w:cs="Arial"/>
          <w:b/>
          <w:color w:val="000000"/>
          <w:sz w:val="22"/>
          <w:szCs w:val="22"/>
        </w:rPr>
      </w:pPr>
      <w:r>
        <w:rPr>
          <w:rFonts w:ascii="Arial" w:eastAsia="Arial" w:hAnsi="Arial" w:cs="Arial"/>
          <w:b/>
          <w:color w:val="000000"/>
          <w:sz w:val="22"/>
          <w:szCs w:val="22"/>
        </w:rPr>
        <w:lastRenderedPageBreak/>
        <w:t xml:space="preserve">JUSTIFICACION INDICADORES FINANCIEROS Y ORGANIZACIONALES </w:t>
      </w:r>
    </w:p>
    <w:p w14:paraId="2D4966A2" w14:textId="77777777" w:rsidR="00572AD5" w:rsidRDefault="00000000">
      <w:pPr>
        <w:pBdr>
          <w:top w:val="nil"/>
          <w:left w:val="nil"/>
          <w:bottom w:val="nil"/>
          <w:right w:val="nil"/>
          <w:between w:val="nil"/>
        </w:pBdr>
        <w:spacing w:after="120"/>
        <w:ind w:right="318"/>
        <w:jc w:val="both"/>
        <w:rPr>
          <w:rFonts w:ascii="Arial" w:eastAsia="Arial" w:hAnsi="Arial" w:cs="Arial"/>
          <w:color w:val="000000"/>
          <w:sz w:val="22"/>
          <w:szCs w:val="22"/>
        </w:rPr>
      </w:pPr>
      <w:r>
        <w:rPr>
          <w:rFonts w:ascii="Arial" w:eastAsia="Arial" w:hAnsi="Arial" w:cs="Arial"/>
          <w:color w:val="000000"/>
          <w:sz w:val="22"/>
          <w:szCs w:val="22"/>
        </w:rPr>
        <w:t xml:space="preserve">Dentro de los lineamientos generales contenidos para la selección de contratistas, está la de velar por la salud financiera del proceso, favoreciendo el recurso publico ejecutado por la administración, pero al mismo tiempo exigiendo indicadores que se encuentren enmarcados dentro de las tendencias financieras del sector tanto a nivel nacional, como regional. Por lo anterior, se realiza el análisis de los INDICADORES FINANCIEROS por el comité económico estructurador. Con el ánimo de establecer el comportamiento de los indicadores financieros de las empresas del sector, se tomó como referencia la información Financiera publicada por el SISTEMA DE INFORMACION DE LA SUPERINTENDENCIA DE SOCIEDADES a través de la base de datos de INFORMACION ECONOMICA Y FINANCIERA – BASE COMPLETA ESTADOS FINANCIEROS con corte 31 de diciembre de 2021, tomando la información reportada por las siguientes actividades las cuales para el presente proceso serán objeto de estudio </w:t>
      </w:r>
      <w:r>
        <w:rPr>
          <w:rFonts w:ascii="Arial" w:eastAsia="Arial" w:hAnsi="Arial" w:cs="Arial"/>
          <w:b/>
          <w:color w:val="000000"/>
          <w:sz w:val="22"/>
          <w:szCs w:val="22"/>
        </w:rPr>
        <w:t>455</w:t>
      </w:r>
      <w:r>
        <w:rPr>
          <w:rFonts w:ascii="Arial" w:eastAsia="Arial" w:hAnsi="Arial" w:cs="Arial"/>
          <w:color w:val="000000"/>
          <w:sz w:val="22"/>
          <w:szCs w:val="22"/>
        </w:rPr>
        <w:t xml:space="preserve"> entidades, de las cuales 366 corresponden a actividades clasificadas en el item F4290 - Construcción de otras obras de ingeniería civil, 27 con actividades correspondientes al ítem F4330 - Terminación y acabado de edificios y obras de ingeniería civil y 62 entidades con actividades correspondientes al ítem F4330 - Terminación y acabado de edificios y obras de ingeniería civil. </w:t>
      </w:r>
    </w:p>
    <w:p w14:paraId="73F31BE1" w14:textId="77777777" w:rsidR="00572AD5" w:rsidRDefault="00572AD5">
      <w:pPr>
        <w:pBdr>
          <w:top w:val="nil"/>
          <w:left w:val="nil"/>
          <w:bottom w:val="nil"/>
          <w:right w:val="nil"/>
          <w:between w:val="nil"/>
        </w:pBdr>
        <w:spacing w:after="120"/>
        <w:ind w:right="318"/>
        <w:jc w:val="both"/>
        <w:rPr>
          <w:rFonts w:ascii="Arial" w:eastAsia="Arial" w:hAnsi="Arial" w:cs="Arial"/>
          <w:color w:val="000000"/>
          <w:sz w:val="22"/>
          <w:szCs w:val="22"/>
        </w:rPr>
      </w:pPr>
    </w:p>
    <w:tbl>
      <w:tblPr>
        <w:tblStyle w:val="af3"/>
        <w:tblpPr w:leftFromText="141" w:rightFromText="141" w:vertAnchor="text" w:tblpY="140"/>
        <w:tblW w:w="8926" w:type="dxa"/>
        <w:tblInd w:w="0" w:type="dxa"/>
        <w:tblLayout w:type="fixed"/>
        <w:tblLook w:val="0400" w:firstRow="0" w:lastRow="0" w:firstColumn="0" w:lastColumn="0" w:noHBand="0" w:noVBand="1"/>
      </w:tblPr>
      <w:tblGrid>
        <w:gridCol w:w="997"/>
        <w:gridCol w:w="955"/>
        <w:gridCol w:w="1258"/>
        <w:gridCol w:w="1106"/>
        <w:gridCol w:w="1088"/>
        <w:gridCol w:w="1195"/>
        <w:gridCol w:w="1160"/>
        <w:gridCol w:w="1167"/>
      </w:tblGrid>
      <w:tr w:rsidR="00572AD5" w14:paraId="43A651DE" w14:textId="77777777">
        <w:trPr>
          <w:trHeight w:val="315"/>
        </w:trPr>
        <w:tc>
          <w:tcPr>
            <w:tcW w:w="997" w:type="dxa"/>
            <w:tcBorders>
              <w:top w:val="nil"/>
              <w:left w:val="nil"/>
              <w:bottom w:val="nil"/>
              <w:right w:val="nil"/>
            </w:tcBorders>
            <w:shd w:val="clear" w:color="auto" w:fill="FFFFFF"/>
            <w:vAlign w:val="bottom"/>
          </w:tcPr>
          <w:p w14:paraId="50818E6F"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2105E"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258" w:type="dxa"/>
            <w:tcBorders>
              <w:top w:val="single" w:sz="4" w:space="0" w:color="000000"/>
              <w:left w:val="nil"/>
              <w:bottom w:val="single" w:sz="4" w:space="0" w:color="000000"/>
              <w:right w:val="single" w:sz="4" w:space="0" w:color="000000"/>
            </w:tcBorders>
            <w:shd w:val="clear" w:color="auto" w:fill="auto"/>
            <w:vAlign w:val="center"/>
          </w:tcPr>
          <w:p w14:paraId="227AAA0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Menor o Igual</w:t>
            </w:r>
          </w:p>
        </w:tc>
        <w:tc>
          <w:tcPr>
            <w:tcW w:w="1106" w:type="dxa"/>
            <w:tcBorders>
              <w:top w:val="single" w:sz="4" w:space="0" w:color="000000"/>
              <w:left w:val="nil"/>
              <w:bottom w:val="single" w:sz="4" w:space="0" w:color="000000"/>
              <w:right w:val="single" w:sz="4" w:space="0" w:color="000000"/>
            </w:tcBorders>
            <w:shd w:val="clear" w:color="auto" w:fill="auto"/>
            <w:vAlign w:val="center"/>
          </w:tcPr>
          <w:p w14:paraId="56D9E47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c>
          <w:tcPr>
            <w:tcW w:w="1088" w:type="dxa"/>
            <w:tcBorders>
              <w:top w:val="single" w:sz="4" w:space="0" w:color="000000"/>
              <w:left w:val="nil"/>
              <w:bottom w:val="single" w:sz="4" w:space="0" w:color="000000"/>
              <w:right w:val="single" w:sz="4" w:space="0" w:color="000000"/>
            </w:tcBorders>
            <w:shd w:val="clear" w:color="auto" w:fill="auto"/>
            <w:vAlign w:val="center"/>
          </w:tcPr>
          <w:p w14:paraId="001EE18F"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195" w:type="dxa"/>
            <w:tcBorders>
              <w:top w:val="single" w:sz="4" w:space="0" w:color="000000"/>
              <w:left w:val="nil"/>
              <w:bottom w:val="single" w:sz="4" w:space="0" w:color="000000"/>
              <w:right w:val="single" w:sz="4" w:space="0" w:color="000000"/>
            </w:tcBorders>
            <w:shd w:val="clear" w:color="auto" w:fill="auto"/>
            <w:vAlign w:val="center"/>
          </w:tcPr>
          <w:p w14:paraId="3BBFD82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160" w:type="dxa"/>
            <w:tcBorders>
              <w:top w:val="single" w:sz="4" w:space="0" w:color="000000"/>
              <w:left w:val="nil"/>
              <w:bottom w:val="single" w:sz="4" w:space="0" w:color="000000"/>
              <w:right w:val="single" w:sz="4" w:space="0" w:color="000000"/>
            </w:tcBorders>
            <w:shd w:val="clear" w:color="auto" w:fill="auto"/>
            <w:vAlign w:val="center"/>
          </w:tcPr>
          <w:p w14:paraId="49D3582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c>
          <w:tcPr>
            <w:tcW w:w="1167" w:type="dxa"/>
            <w:tcBorders>
              <w:top w:val="single" w:sz="4" w:space="0" w:color="000000"/>
              <w:left w:val="nil"/>
              <w:bottom w:val="single" w:sz="4" w:space="0" w:color="000000"/>
              <w:right w:val="single" w:sz="4" w:space="0" w:color="000000"/>
            </w:tcBorders>
            <w:shd w:val="clear" w:color="auto" w:fill="auto"/>
            <w:vAlign w:val="center"/>
          </w:tcPr>
          <w:p w14:paraId="4BE8F907"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r>
      <w:tr w:rsidR="00572AD5" w14:paraId="7B499305" w14:textId="77777777">
        <w:trPr>
          <w:trHeight w:val="600"/>
        </w:trPr>
        <w:tc>
          <w:tcPr>
            <w:tcW w:w="997" w:type="dxa"/>
            <w:tcBorders>
              <w:top w:val="nil"/>
              <w:left w:val="nil"/>
              <w:bottom w:val="nil"/>
              <w:right w:val="nil"/>
            </w:tcBorders>
            <w:shd w:val="clear" w:color="auto" w:fill="FFFFFF"/>
            <w:vAlign w:val="bottom"/>
          </w:tcPr>
          <w:p w14:paraId="5E9F80B2"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w:t>
            </w:r>
          </w:p>
        </w:tc>
        <w:tc>
          <w:tcPr>
            <w:tcW w:w="955" w:type="dxa"/>
            <w:tcBorders>
              <w:top w:val="nil"/>
              <w:left w:val="single" w:sz="4" w:space="0" w:color="000000"/>
              <w:bottom w:val="single" w:sz="4" w:space="0" w:color="000000"/>
              <w:right w:val="single" w:sz="4" w:space="0" w:color="000000"/>
            </w:tcBorders>
            <w:shd w:val="clear" w:color="auto" w:fill="B4C6E7"/>
            <w:vAlign w:val="center"/>
          </w:tcPr>
          <w:p w14:paraId="28191EB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LIQUIDEZ</w:t>
            </w:r>
          </w:p>
        </w:tc>
        <w:tc>
          <w:tcPr>
            <w:tcW w:w="1258" w:type="dxa"/>
            <w:tcBorders>
              <w:top w:val="nil"/>
              <w:left w:val="nil"/>
              <w:bottom w:val="single" w:sz="4" w:space="0" w:color="000000"/>
              <w:right w:val="single" w:sz="4" w:space="0" w:color="000000"/>
            </w:tcBorders>
            <w:shd w:val="clear" w:color="auto" w:fill="B4C6E7"/>
            <w:vAlign w:val="center"/>
          </w:tcPr>
          <w:p w14:paraId="66BBCAC3"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ENDEUDAMIENTO</w:t>
            </w:r>
          </w:p>
        </w:tc>
        <w:tc>
          <w:tcPr>
            <w:tcW w:w="1106" w:type="dxa"/>
            <w:tcBorders>
              <w:top w:val="nil"/>
              <w:left w:val="nil"/>
              <w:bottom w:val="single" w:sz="4" w:space="0" w:color="000000"/>
              <w:right w:val="single" w:sz="4" w:space="0" w:color="000000"/>
            </w:tcBorders>
            <w:shd w:val="clear" w:color="auto" w:fill="B4C6E7"/>
            <w:vAlign w:val="center"/>
          </w:tcPr>
          <w:p w14:paraId="4D5E7FD8"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INTERESES</w:t>
            </w:r>
          </w:p>
        </w:tc>
        <w:tc>
          <w:tcPr>
            <w:tcW w:w="1088" w:type="dxa"/>
            <w:tcBorders>
              <w:top w:val="nil"/>
              <w:left w:val="nil"/>
              <w:bottom w:val="single" w:sz="4" w:space="0" w:color="000000"/>
              <w:right w:val="single" w:sz="4" w:space="0" w:color="000000"/>
            </w:tcBorders>
            <w:shd w:val="clear" w:color="auto" w:fill="B4C6E7"/>
            <w:vAlign w:val="center"/>
          </w:tcPr>
          <w:p w14:paraId="3D5B559D"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RENTABILIDAD PATRIMONIO</w:t>
            </w:r>
          </w:p>
        </w:tc>
        <w:tc>
          <w:tcPr>
            <w:tcW w:w="1195" w:type="dxa"/>
            <w:tcBorders>
              <w:top w:val="nil"/>
              <w:left w:val="nil"/>
              <w:bottom w:val="single" w:sz="4" w:space="0" w:color="000000"/>
              <w:right w:val="single" w:sz="4" w:space="0" w:color="000000"/>
            </w:tcBorders>
            <w:shd w:val="clear" w:color="auto" w:fill="B4C6E7"/>
            <w:vAlign w:val="center"/>
          </w:tcPr>
          <w:p w14:paraId="73F0413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RENTABILIDAD ACTIVO</w:t>
            </w:r>
          </w:p>
        </w:tc>
        <w:tc>
          <w:tcPr>
            <w:tcW w:w="1160" w:type="dxa"/>
            <w:tcBorders>
              <w:top w:val="nil"/>
              <w:left w:val="nil"/>
              <w:bottom w:val="single" w:sz="4" w:space="0" w:color="000000"/>
              <w:right w:val="single" w:sz="4" w:space="0" w:color="000000"/>
            </w:tcBorders>
            <w:shd w:val="clear" w:color="auto" w:fill="B4C6E7"/>
            <w:vAlign w:val="center"/>
          </w:tcPr>
          <w:p w14:paraId="6302213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CAPITAL DE TRABAJO</w:t>
            </w:r>
          </w:p>
        </w:tc>
        <w:tc>
          <w:tcPr>
            <w:tcW w:w="1167" w:type="dxa"/>
            <w:tcBorders>
              <w:top w:val="nil"/>
              <w:left w:val="nil"/>
              <w:bottom w:val="single" w:sz="4" w:space="0" w:color="000000"/>
              <w:right w:val="single" w:sz="4" w:space="0" w:color="000000"/>
            </w:tcBorders>
            <w:shd w:val="clear" w:color="auto" w:fill="B4C6E7"/>
            <w:vAlign w:val="center"/>
          </w:tcPr>
          <w:p w14:paraId="63C0ECCE"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CAPITAL </w:t>
            </w:r>
            <w:r>
              <w:rPr>
                <w:rFonts w:ascii="Arial" w:eastAsia="Arial" w:hAnsi="Arial" w:cs="Arial"/>
                <w:b/>
                <w:color w:val="000000"/>
                <w:sz w:val="15"/>
                <w:szCs w:val="15"/>
              </w:rPr>
              <w:br/>
              <w:t>DE TRABAJO</w:t>
            </w:r>
          </w:p>
        </w:tc>
      </w:tr>
      <w:tr w:rsidR="00572AD5" w14:paraId="0E3C2E9E" w14:textId="77777777">
        <w:trPr>
          <w:trHeight w:val="330"/>
        </w:trPr>
        <w:tc>
          <w:tcPr>
            <w:tcW w:w="997"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509A0E24"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PROMEDIO</w:t>
            </w:r>
          </w:p>
        </w:tc>
        <w:tc>
          <w:tcPr>
            <w:tcW w:w="955" w:type="dxa"/>
            <w:tcBorders>
              <w:top w:val="nil"/>
              <w:left w:val="nil"/>
              <w:bottom w:val="single" w:sz="4" w:space="0" w:color="000000"/>
              <w:right w:val="single" w:sz="4" w:space="0" w:color="000000"/>
            </w:tcBorders>
            <w:shd w:val="clear" w:color="auto" w:fill="auto"/>
            <w:vAlign w:val="center"/>
          </w:tcPr>
          <w:p w14:paraId="411D6780"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3,24</w:t>
            </w:r>
          </w:p>
        </w:tc>
        <w:tc>
          <w:tcPr>
            <w:tcW w:w="1258" w:type="dxa"/>
            <w:tcBorders>
              <w:top w:val="nil"/>
              <w:left w:val="nil"/>
              <w:bottom w:val="single" w:sz="4" w:space="0" w:color="000000"/>
              <w:right w:val="single" w:sz="4" w:space="0" w:color="000000"/>
            </w:tcBorders>
            <w:shd w:val="clear" w:color="auto" w:fill="auto"/>
            <w:vAlign w:val="center"/>
          </w:tcPr>
          <w:p w14:paraId="20186CF9"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58%</w:t>
            </w:r>
          </w:p>
        </w:tc>
        <w:tc>
          <w:tcPr>
            <w:tcW w:w="1106" w:type="dxa"/>
            <w:tcBorders>
              <w:top w:val="nil"/>
              <w:left w:val="nil"/>
              <w:bottom w:val="single" w:sz="4" w:space="0" w:color="000000"/>
              <w:right w:val="single" w:sz="4" w:space="0" w:color="000000"/>
            </w:tcBorders>
            <w:shd w:val="clear" w:color="auto" w:fill="auto"/>
            <w:vAlign w:val="center"/>
          </w:tcPr>
          <w:p w14:paraId="64194D45"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32,30</w:t>
            </w:r>
          </w:p>
        </w:tc>
        <w:tc>
          <w:tcPr>
            <w:tcW w:w="1088" w:type="dxa"/>
            <w:tcBorders>
              <w:top w:val="nil"/>
              <w:left w:val="nil"/>
              <w:bottom w:val="single" w:sz="4" w:space="0" w:color="000000"/>
              <w:right w:val="single" w:sz="4" w:space="0" w:color="000000"/>
            </w:tcBorders>
            <w:shd w:val="clear" w:color="auto" w:fill="auto"/>
            <w:vAlign w:val="center"/>
          </w:tcPr>
          <w:p w14:paraId="39B62E7A"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20,98%</w:t>
            </w:r>
          </w:p>
        </w:tc>
        <w:tc>
          <w:tcPr>
            <w:tcW w:w="1195" w:type="dxa"/>
            <w:tcBorders>
              <w:top w:val="nil"/>
              <w:left w:val="nil"/>
              <w:bottom w:val="single" w:sz="4" w:space="0" w:color="000000"/>
              <w:right w:val="single" w:sz="4" w:space="0" w:color="000000"/>
            </w:tcBorders>
            <w:shd w:val="clear" w:color="auto" w:fill="auto"/>
            <w:vAlign w:val="center"/>
          </w:tcPr>
          <w:p w14:paraId="1D21D311"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8,44%</w:t>
            </w:r>
          </w:p>
        </w:tc>
        <w:tc>
          <w:tcPr>
            <w:tcW w:w="1160" w:type="dxa"/>
            <w:tcBorders>
              <w:top w:val="nil"/>
              <w:left w:val="nil"/>
              <w:bottom w:val="single" w:sz="4" w:space="0" w:color="000000"/>
              <w:right w:val="single" w:sz="4" w:space="0" w:color="000000"/>
            </w:tcBorders>
            <w:shd w:val="clear" w:color="auto" w:fill="auto"/>
            <w:vAlign w:val="center"/>
          </w:tcPr>
          <w:p w14:paraId="35AAF75D"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          6.156.768 </w:t>
            </w:r>
          </w:p>
        </w:tc>
        <w:tc>
          <w:tcPr>
            <w:tcW w:w="1167" w:type="dxa"/>
            <w:tcBorders>
              <w:top w:val="nil"/>
              <w:left w:val="nil"/>
              <w:bottom w:val="single" w:sz="4" w:space="0" w:color="000000"/>
              <w:right w:val="single" w:sz="4" w:space="0" w:color="000000"/>
            </w:tcBorders>
            <w:shd w:val="clear" w:color="auto" w:fill="auto"/>
            <w:vAlign w:val="center"/>
          </w:tcPr>
          <w:p w14:paraId="7AE0697F"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xml:space="preserve">             6.156.768 </w:t>
            </w:r>
          </w:p>
        </w:tc>
      </w:tr>
      <w:tr w:rsidR="00572AD5" w14:paraId="6D8E9F0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35D51214"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MINIMO VALOR</w:t>
            </w:r>
          </w:p>
        </w:tc>
        <w:tc>
          <w:tcPr>
            <w:tcW w:w="955" w:type="dxa"/>
            <w:tcBorders>
              <w:top w:val="nil"/>
              <w:left w:val="nil"/>
              <w:bottom w:val="single" w:sz="4" w:space="0" w:color="000000"/>
              <w:right w:val="single" w:sz="4" w:space="0" w:color="000000"/>
            </w:tcBorders>
            <w:shd w:val="clear" w:color="auto" w:fill="auto"/>
            <w:vAlign w:val="center"/>
          </w:tcPr>
          <w:p w14:paraId="4A236953"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0,50</w:t>
            </w:r>
          </w:p>
        </w:tc>
        <w:tc>
          <w:tcPr>
            <w:tcW w:w="1258" w:type="dxa"/>
            <w:tcBorders>
              <w:top w:val="nil"/>
              <w:left w:val="nil"/>
              <w:bottom w:val="single" w:sz="4" w:space="0" w:color="000000"/>
              <w:right w:val="single" w:sz="4" w:space="0" w:color="000000"/>
            </w:tcBorders>
            <w:shd w:val="clear" w:color="auto" w:fill="auto"/>
            <w:vAlign w:val="center"/>
          </w:tcPr>
          <w:p w14:paraId="4B8C69B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30%</w:t>
            </w:r>
          </w:p>
        </w:tc>
        <w:tc>
          <w:tcPr>
            <w:tcW w:w="1106" w:type="dxa"/>
            <w:tcBorders>
              <w:top w:val="nil"/>
              <w:left w:val="nil"/>
              <w:bottom w:val="single" w:sz="4" w:space="0" w:color="000000"/>
              <w:right w:val="single" w:sz="4" w:space="0" w:color="000000"/>
            </w:tcBorders>
            <w:shd w:val="clear" w:color="auto" w:fill="auto"/>
            <w:vAlign w:val="center"/>
          </w:tcPr>
          <w:p w14:paraId="64C1A0F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-3413,39</w:t>
            </w:r>
          </w:p>
        </w:tc>
        <w:tc>
          <w:tcPr>
            <w:tcW w:w="1088" w:type="dxa"/>
            <w:tcBorders>
              <w:top w:val="nil"/>
              <w:left w:val="nil"/>
              <w:bottom w:val="single" w:sz="4" w:space="0" w:color="000000"/>
              <w:right w:val="single" w:sz="4" w:space="0" w:color="000000"/>
            </w:tcBorders>
            <w:shd w:val="clear" w:color="auto" w:fill="auto"/>
            <w:vAlign w:val="center"/>
          </w:tcPr>
          <w:p w14:paraId="734A43F4"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-382,31%</w:t>
            </w:r>
          </w:p>
        </w:tc>
        <w:tc>
          <w:tcPr>
            <w:tcW w:w="1195" w:type="dxa"/>
            <w:tcBorders>
              <w:top w:val="nil"/>
              <w:left w:val="nil"/>
              <w:bottom w:val="single" w:sz="4" w:space="0" w:color="000000"/>
              <w:right w:val="single" w:sz="4" w:space="0" w:color="000000"/>
            </w:tcBorders>
            <w:shd w:val="clear" w:color="auto" w:fill="auto"/>
            <w:vAlign w:val="center"/>
          </w:tcPr>
          <w:p w14:paraId="031DE85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-9,65%</w:t>
            </w:r>
          </w:p>
        </w:tc>
        <w:tc>
          <w:tcPr>
            <w:tcW w:w="1160" w:type="dxa"/>
            <w:tcBorders>
              <w:top w:val="nil"/>
              <w:left w:val="nil"/>
              <w:bottom w:val="single" w:sz="4" w:space="0" w:color="000000"/>
              <w:right w:val="single" w:sz="4" w:space="0" w:color="000000"/>
            </w:tcBorders>
            <w:shd w:val="clear" w:color="auto" w:fill="auto"/>
            <w:vAlign w:val="center"/>
          </w:tcPr>
          <w:p w14:paraId="2D683A63"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4.868.455 </w:t>
            </w:r>
          </w:p>
        </w:tc>
        <w:tc>
          <w:tcPr>
            <w:tcW w:w="1167" w:type="dxa"/>
            <w:tcBorders>
              <w:top w:val="nil"/>
              <w:left w:val="nil"/>
              <w:bottom w:val="single" w:sz="4" w:space="0" w:color="000000"/>
              <w:right w:val="single" w:sz="4" w:space="0" w:color="000000"/>
            </w:tcBorders>
            <w:shd w:val="clear" w:color="auto" w:fill="auto"/>
            <w:vAlign w:val="center"/>
          </w:tcPr>
          <w:p w14:paraId="1294B273"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xml:space="preserve">-            4.868.455 </w:t>
            </w:r>
          </w:p>
        </w:tc>
      </w:tr>
      <w:tr w:rsidR="00572AD5" w14:paraId="59BB58D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13777A5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MAXIMO VALOR</w:t>
            </w:r>
          </w:p>
        </w:tc>
        <w:tc>
          <w:tcPr>
            <w:tcW w:w="955" w:type="dxa"/>
            <w:tcBorders>
              <w:top w:val="nil"/>
              <w:left w:val="nil"/>
              <w:bottom w:val="single" w:sz="4" w:space="0" w:color="000000"/>
              <w:right w:val="single" w:sz="4" w:space="0" w:color="000000"/>
            </w:tcBorders>
            <w:shd w:val="clear" w:color="auto" w:fill="auto"/>
            <w:vAlign w:val="center"/>
          </w:tcPr>
          <w:p w14:paraId="699CB790"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12,25</w:t>
            </w:r>
          </w:p>
        </w:tc>
        <w:tc>
          <w:tcPr>
            <w:tcW w:w="1258" w:type="dxa"/>
            <w:tcBorders>
              <w:top w:val="nil"/>
              <w:left w:val="nil"/>
              <w:bottom w:val="single" w:sz="4" w:space="0" w:color="000000"/>
              <w:right w:val="single" w:sz="4" w:space="0" w:color="000000"/>
            </w:tcBorders>
            <w:shd w:val="clear" w:color="auto" w:fill="auto"/>
            <w:vAlign w:val="center"/>
          </w:tcPr>
          <w:p w14:paraId="3C3B015B"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128%</w:t>
            </w:r>
          </w:p>
        </w:tc>
        <w:tc>
          <w:tcPr>
            <w:tcW w:w="1106" w:type="dxa"/>
            <w:tcBorders>
              <w:top w:val="nil"/>
              <w:left w:val="nil"/>
              <w:bottom w:val="single" w:sz="4" w:space="0" w:color="000000"/>
              <w:right w:val="single" w:sz="4" w:space="0" w:color="000000"/>
            </w:tcBorders>
            <w:shd w:val="clear" w:color="auto" w:fill="auto"/>
            <w:vAlign w:val="center"/>
          </w:tcPr>
          <w:p w14:paraId="3EAFC511"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5716,83</w:t>
            </w:r>
          </w:p>
        </w:tc>
        <w:tc>
          <w:tcPr>
            <w:tcW w:w="1088" w:type="dxa"/>
            <w:tcBorders>
              <w:top w:val="nil"/>
              <w:left w:val="nil"/>
              <w:bottom w:val="single" w:sz="4" w:space="0" w:color="000000"/>
              <w:right w:val="single" w:sz="4" w:space="0" w:color="000000"/>
            </w:tcBorders>
            <w:shd w:val="clear" w:color="auto" w:fill="auto"/>
            <w:vAlign w:val="center"/>
          </w:tcPr>
          <w:p w14:paraId="7828022D"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689,32%</w:t>
            </w:r>
          </w:p>
        </w:tc>
        <w:tc>
          <w:tcPr>
            <w:tcW w:w="1195" w:type="dxa"/>
            <w:tcBorders>
              <w:top w:val="nil"/>
              <w:left w:val="nil"/>
              <w:bottom w:val="single" w:sz="4" w:space="0" w:color="000000"/>
              <w:right w:val="single" w:sz="4" w:space="0" w:color="000000"/>
            </w:tcBorders>
            <w:shd w:val="clear" w:color="auto" w:fill="auto"/>
            <w:vAlign w:val="center"/>
          </w:tcPr>
          <w:p w14:paraId="31E872DB"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71,89%</w:t>
            </w:r>
          </w:p>
        </w:tc>
        <w:tc>
          <w:tcPr>
            <w:tcW w:w="1160" w:type="dxa"/>
            <w:tcBorders>
              <w:top w:val="nil"/>
              <w:left w:val="nil"/>
              <w:bottom w:val="single" w:sz="4" w:space="0" w:color="000000"/>
              <w:right w:val="single" w:sz="4" w:space="0" w:color="000000"/>
            </w:tcBorders>
            <w:shd w:val="clear" w:color="auto" w:fill="auto"/>
            <w:vAlign w:val="center"/>
          </w:tcPr>
          <w:p w14:paraId="3D8B14CC"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     168.455.073 </w:t>
            </w:r>
          </w:p>
        </w:tc>
        <w:tc>
          <w:tcPr>
            <w:tcW w:w="1167" w:type="dxa"/>
            <w:tcBorders>
              <w:top w:val="nil"/>
              <w:left w:val="nil"/>
              <w:bottom w:val="single" w:sz="4" w:space="0" w:color="000000"/>
              <w:right w:val="single" w:sz="4" w:space="0" w:color="000000"/>
            </w:tcBorders>
            <w:shd w:val="clear" w:color="auto" w:fill="auto"/>
            <w:vAlign w:val="center"/>
          </w:tcPr>
          <w:p w14:paraId="1BA9BCC4"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168.455.073 </w:t>
            </w:r>
          </w:p>
        </w:tc>
      </w:tr>
      <w:tr w:rsidR="00572AD5" w14:paraId="7676CED4" w14:textId="77777777">
        <w:trPr>
          <w:trHeight w:val="330"/>
        </w:trPr>
        <w:tc>
          <w:tcPr>
            <w:tcW w:w="997" w:type="dxa"/>
            <w:tcBorders>
              <w:top w:val="nil"/>
              <w:left w:val="single" w:sz="4" w:space="0" w:color="000000"/>
              <w:bottom w:val="single" w:sz="4" w:space="0" w:color="000000"/>
              <w:right w:val="single" w:sz="4" w:space="0" w:color="000000"/>
            </w:tcBorders>
            <w:shd w:val="clear" w:color="auto" w:fill="FBE5D5"/>
            <w:vAlign w:val="center"/>
          </w:tcPr>
          <w:p w14:paraId="034BD4F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MEDIANA</w:t>
            </w:r>
          </w:p>
        </w:tc>
        <w:tc>
          <w:tcPr>
            <w:tcW w:w="955" w:type="dxa"/>
            <w:tcBorders>
              <w:top w:val="nil"/>
              <w:left w:val="nil"/>
              <w:bottom w:val="single" w:sz="4" w:space="0" w:color="000000"/>
              <w:right w:val="single" w:sz="4" w:space="0" w:color="000000"/>
            </w:tcBorders>
            <w:shd w:val="clear" w:color="auto" w:fill="FBE5D5"/>
            <w:vAlign w:val="center"/>
          </w:tcPr>
          <w:p w14:paraId="0F361606"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2,28</w:t>
            </w:r>
          </w:p>
        </w:tc>
        <w:tc>
          <w:tcPr>
            <w:tcW w:w="1258" w:type="dxa"/>
            <w:tcBorders>
              <w:top w:val="nil"/>
              <w:left w:val="nil"/>
              <w:bottom w:val="single" w:sz="4" w:space="0" w:color="000000"/>
              <w:right w:val="single" w:sz="4" w:space="0" w:color="000000"/>
            </w:tcBorders>
            <w:shd w:val="clear" w:color="auto" w:fill="FBE5D5"/>
            <w:vAlign w:val="center"/>
          </w:tcPr>
          <w:p w14:paraId="28F79530"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55%</w:t>
            </w:r>
          </w:p>
        </w:tc>
        <w:tc>
          <w:tcPr>
            <w:tcW w:w="1106" w:type="dxa"/>
            <w:tcBorders>
              <w:top w:val="nil"/>
              <w:left w:val="nil"/>
              <w:bottom w:val="single" w:sz="4" w:space="0" w:color="000000"/>
              <w:right w:val="single" w:sz="4" w:space="0" w:color="000000"/>
            </w:tcBorders>
            <w:shd w:val="clear" w:color="auto" w:fill="FBE5D5"/>
            <w:vAlign w:val="center"/>
          </w:tcPr>
          <w:p w14:paraId="3D2314F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                       3,91 </w:t>
            </w:r>
          </w:p>
        </w:tc>
        <w:tc>
          <w:tcPr>
            <w:tcW w:w="1088" w:type="dxa"/>
            <w:tcBorders>
              <w:top w:val="nil"/>
              <w:left w:val="nil"/>
              <w:bottom w:val="single" w:sz="4" w:space="0" w:color="000000"/>
              <w:right w:val="single" w:sz="4" w:space="0" w:color="000000"/>
            </w:tcBorders>
            <w:shd w:val="clear" w:color="auto" w:fill="FBE5D5"/>
            <w:vAlign w:val="center"/>
          </w:tcPr>
          <w:p w14:paraId="05E879B0"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0,16 </w:t>
            </w:r>
          </w:p>
        </w:tc>
        <w:tc>
          <w:tcPr>
            <w:tcW w:w="1195" w:type="dxa"/>
            <w:tcBorders>
              <w:top w:val="nil"/>
              <w:left w:val="nil"/>
              <w:bottom w:val="single" w:sz="4" w:space="0" w:color="000000"/>
              <w:right w:val="single" w:sz="4" w:space="0" w:color="000000"/>
            </w:tcBorders>
            <w:shd w:val="clear" w:color="auto" w:fill="FBE5D5"/>
            <w:vAlign w:val="center"/>
          </w:tcPr>
          <w:p w14:paraId="429117A0"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0,07 </w:t>
            </w:r>
          </w:p>
        </w:tc>
        <w:tc>
          <w:tcPr>
            <w:tcW w:w="1160" w:type="dxa"/>
            <w:tcBorders>
              <w:top w:val="nil"/>
              <w:left w:val="nil"/>
              <w:bottom w:val="single" w:sz="4" w:space="0" w:color="000000"/>
              <w:right w:val="single" w:sz="4" w:space="0" w:color="000000"/>
            </w:tcBorders>
            <w:shd w:val="clear" w:color="auto" w:fill="FBE5D5"/>
            <w:vAlign w:val="center"/>
          </w:tcPr>
          <w:p w14:paraId="534421ED"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 $          2.558.162 </w:t>
            </w:r>
          </w:p>
        </w:tc>
        <w:tc>
          <w:tcPr>
            <w:tcW w:w="1167" w:type="dxa"/>
            <w:tcBorders>
              <w:top w:val="nil"/>
              <w:left w:val="nil"/>
              <w:bottom w:val="single" w:sz="4" w:space="0" w:color="000000"/>
              <w:right w:val="single" w:sz="4" w:space="0" w:color="000000"/>
            </w:tcBorders>
            <w:shd w:val="clear" w:color="auto" w:fill="FBE5D5"/>
            <w:vAlign w:val="center"/>
          </w:tcPr>
          <w:p w14:paraId="77D661E7"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2.558.162 </w:t>
            </w:r>
          </w:p>
        </w:tc>
      </w:tr>
      <w:tr w:rsidR="00572AD5" w14:paraId="2B744FA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46E99B38"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MEDIA GEOMETRICA</w:t>
            </w:r>
          </w:p>
        </w:tc>
        <w:tc>
          <w:tcPr>
            <w:tcW w:w="955" w:type="dxa"/>
            <w:tcBorders>
              <w:top w:val="nil"/>
              <w:left w:val="nil"/>
              <w:bottom w:val="single" w:sz="4" w:space="0" w:color="000000"/>
              <w:right w:val="single" w:sz="4" w:space="0" w:color="000000"/>
            </w:tcBorders>
            <w:shd w:val="clear" w:color="auto" w:fill="auto"/>
            <w:vAlign w:val="center"/>
          </w:tcPr>
          <w:p w14:paraId="0AF48518"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2,51</w:t>
            </w:r>
          </w:p>
        </w:tc>
        <w:tc>
          <w:tcPr>
            <w:tcW w:w="1258" w:type="dxa"/>
            <w:tcBorders>
              <w:top w:val="nil"/>
              <w:left w:val="nil"/>
              <w:bottom w:val="single" w:sz="4" w:space="0" w:color="000000"/>
              <w:right w:val="single" w:sz="4" w:space="0" w:color="000000"/>
            </w:tcBorders>
            <w:shd w:val="clear" w:color="auto" w:fill="auto"/>
            <w:vAlign w:val="center"/>
          </w:tcPr>
          <w:p w14:paraId="61A2A3B6"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55%</w:t>
            </w:r>
          </w:p>
        </w:tc>
        <w:tc>
          <w:tcPr>
            <w:tcW w:w="1106" w:type="dxa"/>
            <w:tcBorders>
              <w:top w:val="nil"/>
              <w:left w:val="nil"/>
              <w:bottom w:val="single" w:sz="4" w:space="0" w:color="000000"/>
              <w:right w:val="single" w:sz="4" w:space="0" w:color="000000"/>
            </w:tcBorders>
            <w:shd w:val="clear" w:color="auto" w:fill="auto"/>
            <w:vAlign w:val="center"/>
          </w:tcPr>
          <w:p w14:paraId="376F6D96" w14:textId="77777777" w:rsidR="00572AD5" w:rsidRDefault="00000000">
            <w:pPr>
              <w:jc w:val="center"/>
              <w:rPr>
                <w:rFonts w:ascii="Arial" w:eastAsia="Arial" w:hAnsi="Arial" w:cs="Arial"/>
                <w:color w:val="000000"/>
                <w:sz w:val="15"/>
                <w:szCs w:val="15"/>
              </w:rPr>
            </w:pPr>
            <w:proofErr w:type="gramStart"/>
            <w:r>
              <w:rPr>
                <w:rFonts w:ascii="Arial" w:eastAsia="Arial" w:hAnsi="Arial" w:cs="Arial"/>
                <w:color w:val="000000"/>
                <w:sz w:val="15"/>
                <w:szCs w:val="15"/>
              </w:rPr>
              <w:t>#¡</w:t>
            </w:r>
            <w:proofErr w:type="gramEnd"/>
            <w:r>
              <w:rPr>
                <w:rFonts w:ascii="Arial" w:eastAsia="Arial" w:hAnsi="Arial" w:cs="Arial"/>
                <w:color w:val="000000"/>
                <w:sz w:val="15"/>
                <w:szCs w:val="15"/>
              </w:rPr>
              <w:t>NUM!</w:t>
            </w:r>
          </w:p>
        </w:tc>
        <w:tc>
          <w:tcPr>
            <w:tcW w:w="1088" w:type="dxa"/>
            <w:tcBorders>
              <w:top w:val="nil"/>
              <w:left w:val="nil"/>
              <w:bottom w:val="single" w:sz="4" w:space="0" w:color="000000"/>
              <w:right w:val="single" w:sz="4" w:space="0" w:color="000000"/>
            </w:tcBorders>
            <w:shd w:val="clear" w:color="auto" w:fill="auto"/>
            <w:vAlign w:val="center"/>
          </w:tcPr>
          <w:p w14:paraId="48CBDF9E" w14:textId="77777777" w:rsidR="00572AD5" w:rsidRDefault="00000000">
            <w:pPr>
              <w:jc w:val="center"/>
              <w:rPr>
                <w:rFonts w:ascii="Arial" w:eastAsia="Arial" w:hAnsi="Arial" w:cs="Arial"/>
                <w:color w:val="000000"/>
                <w:sz w:val="15"/>
                <w:szCs w:val="15"/>
              </w:rPr>
            </w:pPr>
            <w:proofErr w:type="gramStart"/>
            <w:r>
              <w:rPr>
                <w:rFonts w:ascii="Arial" w:eastAsia="Arial" w:hAnsi="Arial" w:cs="Arial"/>
                <w:color w:val="000000"/>
                <w:sz w:val="15"/>
                <w:szCs w:val="15"/>
              </w:rPr>
              <w:t>#¡</w:t>
            </w:r>
            <w:proofErr w:type="gramEnd"/>
            <w:r>
              <w:rPr>
                <w:rFonts w:ascii="Arial" w:eastAsia="Arial" w:hAnsi="Arial" w:cs="Arial"/>
                <w:color w:val="000000"/>
                <w:sz w:val="15"/>
                <w:szCs w:val="15"/>
              </w:rPr>
              <w:t>NUM!</w:t>
            </w:r>
          </w:p>
        </w:tc>
        <w:tc>
          <w:tcPr>
            <w:tcW w:w="1195" w:type="dxa"/>
            <w:tcBorders>
              <w:top w:val="nil"/>
              <w:left w:val="nil"/>
              <w:bottom w:val="single" w:sz="4" w:space="0" w:color="000000"/>
              <w:right w:val="single" w:sz="4" w:space="0" w:color="000000"/>
            </w:tcBorders>
            <w:shd w:val="clear" w:color="auto" w:fill="auto"/>
            <w:vAlign w:val="center"/>
          </w:tcPr>
          <w:p w14:paraId="504E9F37" w14:textId="77777777" w:rsidR="00572AD5" w:rsidRDefault="00000000">
            <w:pPr>
              <w:jc w:val="center"/>
              <w:rPr>
                <w:rFonts w:ascii="Arial" w:eastAsia="Arial" w:hAnsi="Arial" w:cs="Arial"/>
                <w:color w:val="000000"/>
                <w:sz w:val="15"/>
                <w:szCs w:val="15"/>
              </w:rPr>
            </w:pPr>
            <w:proofErr w:type="gramStart"/>
            <w:r>
              <w:rPr>
                <w:rFonts w:ascii="Arial" w:eastAsia="Arial" w:hAnsi="Arial" w:cs="Arial"/>
                <w:color w:val="000000"/>
                <w:sz w:val="15"/>
                <w:szCs w:val="15"/>
              </w:rPr>
              <w:t>#¡</w:t>
            </w:r>
            <w:proofErr w:type="gramEnd"/>
            <w:r>
              <w:rPr>
                <w:rFonts w:ascii="Arial" w:eastAsia="Arial" w:hAnsi="Arial" w:cs="Arial"/>
                <w:color w:val="000000"/>
                <w:sz w:val="15"/>
                <w:szCs w:val="15"/>
              </w:rPr>
              <w:t>NUM!</w:t>
            </w:r>
          </w:p>
        </w:tc>
        <w:tc>
          <w:tcPr>
            <w:tcW w:w="1160" w:type="dxa"/>
            <w:tcBorders>
              <w:top w:val="nil"/>
              <w:left w:val="nil"/>
              <w:bottom w:val="single" w:sz="4" w:space="0" w:color="000000"/>
              <w:right w:val="single" w:sz="4" w:space="0" w:color="000000"/>
            </w:tcBorders>
            <w:shd w:val="clear" w:color="auto" w:fill="auto"/>
            <w:vAlign w:val="center"/>
          </w:tcPr>
          <w:p w14:paraId="733EF39E" w14:textId="77777777" w:rsidR="00572AD5" w:rsidRDefault="00000000">
            <w:pPr>
              <w:jc w:val="center"/>
              <w:rPr>
                <w:rFonts w:ascii="Arial" w:eastAsia="Arial" w:hAnsi="Arial" w:cs="Arial"/>
                <w:color w:val="000000"/>
                <w:sz w:val="15"/>
                <w:szCs w:val="15"/>
              </w:rPr>
            </w:pPr>
            <w:proofErr w:type="gramStart"/>
            <w:r>
              <w:rPr>
                <w:rFonts w:ascii="Arial" w:eastAsia="Arial" w:hAnsi="Arial" w:cs="Arial"/>
                <w:color w:val="000000"/>
                <w:sz w:val="15"/>
                <w:szCs w:val="15"/>
              </w:rPr>
              <w:t>#¡</w:t>
            </w:r>
            <w:proofErr w:type="gramEnd"/>
            <w:r>
              <w:rPr>
                <w:rFonts w:ascii="Arial" w:eastAsia="Arial" w:hAnsi="Arial" w:cs="Arial"/>
                <w:color w:val="000000"/>
                <w:sz w:val="15"/>
                <w:szCs w:val="15"/>
              </w:rPr>
              <w:t>NUM!</w:t>
            </w:r>
          </w:p>
        </w:tc>
        <w:tc>
          <w:tcPr>
            <w:tcW w:w="1167" w:type="dxa"/>
            <w:tcBorders>
              <w:top w:val="nil"/>
              <w:left w:val="nil"/>
              <w:bottom w:val="single" w:sz="4" w:space="0" w:color="000000"/>
              <w:right w:val="single" w:sz="4" w:space="0" w:color="000000"/>
            </w:tcBorders>
            <w:shd w:val="clear" w:color="auto" w:fill="auto"/>
            <w:vAlign w:val="center"/>
          </w:tcPr>
          <w:p w14:paraId="5114F127" w14:textId="77777777" w:rsidR="00572AD5" w:rsidRDefault="00000000">
            <w:pPr>
              <w:jc w:val="center"/>
              <w:rPr>
                <w:rFonts w:ascii="Arial" w:eastAsia="Arial" w:hAnsi="Arial" w:cs="Arial"/>
                <w:color w:val="000000"/>
                <w:sz w:val="15"/>
                <w:szCs w:val="15"/>
              </w:rPr>
            </w:pPr>
            <w:proofErr w:type="gramStart"/>
            <w:r>
              <w:rPr>
                <w:rFonts w:ascii="Arial" w:eastAsia="Arial" w:hAnsi="Arial" w:cs="Arial"/>
                <w:color w:val="000000"/>
                <w:sz w:val="15"/>
                <w:szCs w:val="15"/>
              </w:rPr>
              <w:t>#¡</w:t>
            </w:r>
            <w:proofErr w:type="gramEnd"/>
            <w:r>
              <w:rPr>
                <w:rFonts w:ascii="Arial" w:eastAsia="Arial" w:hAnsi="Arial" w:cs="Arial"/>
                <w:color w:val="000000"/>
                <w:sz w:val="15"/>
                <w:szCs w:val="15"/>
              </w:rPr>
              <w:t>NUM!</w:t>
            </w:r>
          </w:p>
        </w:tc>
      </w:tr>
    </w:tbl>
    <w:p w14:paraId="282024B1" w14:textId="77777777" w:rsidR="00572AD5" w:rsidRDefault="00572AD5">
      <w:pPr>
        <w:pBdr>
          <w:top w:val="nil"/>
          <w:left w:val="nil"/>
          <w:bottom w:val="nil"/>
          <w:right w:val="nil"/>
          <w:between w:val="nil"/>
        </w:pBdr>
        <w:spacing w:after="120"/>
        <w:ind w:right="318"/>
        <w:jc w:val="both"/>
        <w:rPr>
          <w:rFonts w:ascii="Arial" w:eastAsia="Arial" w:hAnsi="Arial" w:cs="Arial"/>
          <w:color w:val="000000"/>
        </w:rPr>
      </w:pPr>
    </w:p>
    <w:p w14:paraId="742C532B"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 xml:space="preserve">De acuerdo con el manual para determinar y verificar los requisitos habilitantes en los procesos de contratación expedido por Colombia Compra Eficiente, el comité económico estructurador tomó como referencia la </w:t>
      </w:r>
      <w:r>
        <w:rPr>
          <w:rFonts w:ascii="Arial" w:eastAsia="Arial" w:hAnsi="Arial" w:cs="Arial"/>
          <w:b/>
          <w:color w:val="000000"/>
          <w:sz w:val="22"/>
          <w:szCs w:val="22"/>
        </w:rPr>
        <w:t>MEDIANA</w:t>
      </w:r>
      <w:r>
        <w:rPr>
          <w:rFonts w:ascii="Arial" w:eastAsia="Arial" w:hAnsi="Arial" w:cs="Arial"/>
          <w:color w:val="000000"/>
          <w:sz w:val="22"/>
          <w:szCs w:val="22"/>
        </w:rPr>
        <w:t xml:space="preserve"> para los indicadores de LIQUIDEZ, ENDEUDAMIENTO, RAZON DE COBERTURA DE INTERES, RENTABILIDAD DEL ACTIVO y RENTABILIDAD DEL PLATRIMONIO.</w:t>
      </w:r>
    </w:p>
    <w:p w14:paraId="637F93A7" w14:textId="77777777" w:rsidR="00572AD5" w:rsidRDefault="00572AD5">
      <w:pPr>
        <w:pBdr>
          <w:top w:val="nil"/>
          <w:left w:val="nil"/>
          <w:bottom w:val="nil"/>
          <w:right w:val="nil"/>
          <w:between w:val="nil"/>
        </w:pBdr>
        <w:spacing w:after="120"/>
        <w:ind w:right="318"/>
        <w:jc w:val="both"/>
        <w:rPr>
          <w:rFonts w:ascii="Arial" w:eastAsia="Arial" w:hAnsi="Arial" w:cs="Arial"/>
          <w:color w:val="000000"/>
        </w:rPr>
      </w:pPr>
    </w:p>
    <w:tbl>
      <w:tblPr>
        <w:tblStyle w:val="af4"/>
        <w:tblW w:w="8926" w:type="dxa"/>
        <w:tblInd w:w="-5" w:type="dxa"/>
        <w:tblLayout w:type="fixed"/>
        <w:tblLook w:val="0400" w:firstRow="0" w:lastRow="0" w:firstColumn="0" w:lastColumn="0" w:noHBand="0" w:noVBand="1"/>
      </w:tblPr>
      <w:tblGrid>
        <w:gridCol w:w="1130"/>
        <w:gridCol w:w="789"/>
        <w:gridCol w:w="1341"/>
        <w:gridCol w:w="1193"/>
        <w:gridCol w:w="1386"/>
        <w:gridCol w:w="1363"/>
        <w:gridCol w:w="1724"/>
      </w:tblGrid>
      <w:tr w:rsidR="00572AD5" w14:paraId="5DAC52FE" w14:textId="77777777">
        <w:trPr>
          <w:trHeight w:val="702"/>
        </w:trPr>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05166" w14:textId="77777777" w:rsidR="00572AD5" w:rsidRDefault="00000000">
            <w:pPr>
              <w:jc w:val="right"/>
              <w:rPr>
                <w:rFonts w:ascii="Arial" w:eastAsia="Arial" w:hAnsi="Arial" w:cs="Arial"/>
                <w:color w:val="000000"/>
                <w:sz w:val="16"/>
                <w:szCs w:val="16"/>
              </w:rPr>
            </w:pPr>
            <w:r>
              <w:rPr>
                <w:rFonts w:ascii="Arial" w:eastAsia="Arial" w:hAnsi="Arial" w:cs="Arial"/>
                <w:color w:val="000000"/>
                <w:sz w:val="16"/>
                <w:szCs w:val="16"/>
              </w:rPr>
              <w:t xml:space="preserve">INDICADOR   -&gt;  </w:t>
            </w:r>
          </w:p>
        </w:tc>
        <w:tc>
          <w:tcPr>
            <w:tcW w:w="789" w:type="dxa"/>
            <w:tcBorders>
              <w:top w:val="single" w:sz="4" w:space="0" w:color="000000"/>
              <w:left w:val="nil"/>
              <w:bottom w:val="single" w:sz="4" w:space="0" w:color="000000"/>
              <w:right w:val="single" w:sz="4" w:space="0" w:color="000000"/>
            </w:tcBorders>
            <w:shd w:val="clear" w:color="auto" w:fill="FBE5D5"/>
            <w:vAlign w:val="center"/>
          </w:tcPr>
          <w:p w14:paraId="144F86D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341" w:type="dxa"/>
            <w:tcBorders>
              <w:top w:val="single" w:sz="4" w:space="0" w:color="000000"/>
              <w:left w:val="nil"/>
              <w:bottom w:val="single" w:sz="4" w:space="0" w:color="000000"/>
              <w:right w:val="single" w:sz="4" w:space="0" w:color="000000"/>
            </w:tcBorders>
            <w:shd w:val="clear" w:color="auto" w:fill="FBE5D5"/>
            <w:vAlign w:val="center"/>
          </w:tcPr>
          <w:p w14:paraId="49F44583"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Endeudamiento</w:t>
            </w:r>
          </w:p>
        </w:tc>
        <w:tc>
          <w:tcPr>
            <w:tcW w:w="1193" w:type="dxa"/>
            <w:tcBorders>
              <w:top w:val="single" w:sz="4" w:space="0" w:color="000000"/>
              <w:left w:val="nil"/>
              <w:bottom w:val="single" w:sz="4" w:space="0" w:color="000000"/>
              <w:right w:val="single" w:sz="4" w:space="0" w:color="000000"/>
            </w:tcBorders>
            <w:shd w:val="clear" w:color="auto" w:fill="FBE5D5"/>
            <w:vAlign w:val="center"/>
          </w:tcPr>
          <w:p w14:paraId="3B1B8BE8"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1386" w:type="dxa"/>
            <w:tcBorders>
              <w:top w:val="single" w:sz="4" w:space="0" w:color="000000"/>
              <w:left w:val="nil"/>
              <w:bottom w:val="single" w:sz="4" w:space="0" w:color="000000"/>
              <w:right w:val="single" w:sz="4" w:space="0" w:color="000000"/>
            </w:tcBorders>
            <w:shd w:val="clear" w:color="auto" w:fill="FBE5D5"/>
            <w:vAlign w:val="center"/>
          </w:tcPr>
          <w:p w14:paraId="2AD30A8A"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1363" w:type="dxa"/>
            <w:tcBorders>
              <w:top w:val="single" w:sz="4" w:space="0" w:color="000000"/>
              <w:left w:val="nil"/>
              <w:bottom w:val="single" w:sz="4" w:space="0" w:color="000000"/>
              <w:right w:val="single" w:sz="4" w:space="0" w:color="000000"/>
            </w:tcBorders>
            <w:shd w:val="clear" w:color="auto" w:fill="FBE5D5"/>
            <w:vAlign w:val="center"/>
          </w:tcPr>
          <w:p w14:paraId="7D48200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1724" w:type="dxa"/>
            <w:tcBorders>
              <w:top w:val="single" w:sz="4" w:space="0" w:color="000000"/>
              <w:left w:val="nil"/>
              <w:bottom w:val="single" w:sz="4" w:space="0" w:color="000000"/>
              <w:right w:val="single" w:sz="4" w:space="0" w:color="000000"/>
            </w:tcBorders>
            <w:shd w:val="clear" w:color="auto" w:fill="FBE5D5"/>
            <w:vAlign w:val="center"/>
          </w:tcPr>
          <w:p w14:paraId="5300B85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63D01460" w14:textId="77777777">
        <w:trPr>
          <w:trHeight w:val="799"/>
        </w:trPr>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8CA5E" w14:textId="77777777" w:rsidR="00572AD5" w:rsidRDefault="00000000">
            <w:pPr>
              <w:jc w:val="center"/>
              <w:rPr>
                <w:rFonts w:ascii="Arial" w:eastAsia="Arial" w:hAnsi="Arial" w:cs="Arial"/>
                <w:color w:val="000000"/>
                <w:sz w:val="16"/>
                <w:szCs w:val="16"/>
              </w:rPr>
            </w:pPr>
            <w:r>
              <w:rPr>
                <w:rFonts w:ascii="Arial" w:eastAsia="Arial" w:hAnsi="Arial" w:cs="Arial"/>
                <w:b/>
                <w:color w:val="000000"/>
                <w:sz w:val="16"/>
                <w:szCs w:val="16"/>
              </w:rPr>
              <w:lastRenderedPageBreak/>
              <w:t>MEDIANA</w:t>
            </w:r>
            <w:r>
              <w:rPr>
                <w:rFonts w:ascii="Arial" w:eastAsia="Arial" w:hAnsi="Arial" w:cs="Arial"/>
                <w:color w:val="000000"/>
                <w:sz w:val="16"/>
                <w:szCs w:val="16"/>
              </w:rPr>
              <w:t xml:space="preserve"> </w:t>
            </w:r>
          </w:p>
        </w:tc>
        <w:tc>
          <w:tcPr>
            <w:tcW w:w="789" w:type="dxa"/>
            <w:tcBorders>
              <w:top w:val="nil"/>
              <w:left w:val="nil"/>
              <w:bottom w:val="single" w:sz="4" w:space="0" w:color="000000"/>
              <w:right w:val="single" w:sz="4" w:space="0" w:color="000000"/>
            </w:tcBorders>
            <w:shd w:val="clear" w:color="auto" w:fill="auto"/>
            <w:vAlign w:val="center"/>
          </w:tcPr>
          <w:p w14:paraId="017847CD"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2,28</w:t>
            </w:r>
          </w:p>
        </w:tc>
        <w:tc>
          <w:tcPr>
            <w:tcW w:w="1341" w:type="dxa"/>
            <w:tcBorders>
              <w:top w:val="nil"/>
              <w:left w:val="nil"/>
              <w:bottom w:val="single" w:sz="4" w:space="0" w:color="000000"/>
              <w:right w:val="single" w:sz="4" w:space="0" w:color="000000"/>
            </w:tcBorders>
            <w:shd w:val="clear" w:color="auto" w:fill="auto"/>
            <w:vAlign w:val="center"/>
          </w:tcPr>
          <w:p w14:paraId="7E673A2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55%</w:t>
            </w:r>
          </w:p>
        </w:tc>
        <w:tc>
          <w:tcPr>
            <w:tcW w:w="1193" w:type="dxa"/>
            <w:tcBorders>
              <w:top w:val="nil"/>
              <w:left w:val="nil"/>
              <w:bottom w:val="single" w:sz="4" w:space="0" w:color="000000"/>
              <w:right w:val="single" w:sz="4" w:space="0" w:color="000000"/>
            </w:tcBorders>
            <w:shd w:val="clear" w:color="auto" w:fill="auto"/>
            <w:vAlign w:val="center"/>
          </w:tcPr>
          <w:p w14:paraId="592F7463"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3,91</w:t>
            </w:r>
          </w:p>
        </w:tc>
        <w:tc>
          <w:tcPr>
            <w:tcW w:w="1386" w:type="dxa"/>
            <w:tcBorders>
              <w:top w:val="nil"/>
              <w:left w:val="nil"/>
              <w:bottom w:val="single" w:sz="4" w:space="0" w:color="000000"/>
              <w:right w:val="single" w:sz="4" w:space="0" w:color="000000"/>
            </w:tcBorders>
            <w:shd w:val="clear" w:color="auto" w:fill="auto"/>
            <w:vAlign w:val="center"/>
          </w:tcPr>
          <w:p w14:paraId="0C90ED9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0,16</w:t>
            </w:r>
          </w:p>
        </w:tc>
        <w:tc>
          <w:tcPr>
            <w:tcW w:w="1363" w:type="dxa"/>
            <w:tcBorders>
              <w:top w:val="nil"/>
              <w:left w:val="nil"/>
              <w:bottom w:val="single" w:sz="4" w:space="0" w:color="000000"/>
              <w:right w:val="single" w:sz="4" w:space="0" w:color="000000"/>
            </w:tcBorders>
            <w:shd w:val="clear" w:color="auto" w:fill="auto"/>
            <w:vAlign w:val="center"/>
          </w:tcPr>
          <w:p w14:paraId="2EF72B0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0,07</w:t>
            </w:r>
          </w:p>
        </w:tc>
        <w:tc>
          <w:tcPr>
            <w:tcW w:w="1724" w:type="dxa"/>
            <w:tcBorders>
              <w:top w:val="nil"/>
              <w:left w:val="nil"/>
              <w:bottom w:val="single" w:sz="4" w:space="0" w:color="000000"/>
              <w:right w:val="single" w:sz="4" w:space="0" w:color="000000"/>
            </w:tcBorders>
            <w:shd w:val="clear" w:color="auto" w:fill="auto"/>
            <w:vAlign w:val="center"/>
          </w:tcPr>
          <w:p w14:paraId="5B3A3A0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Mayor o Igual al 80% del Presupuesto</w:t>
            </w:r>
          </w:p>
        </w:tc>
      </w:tr>
    </w:tbl>
    <w:p w14:paraId="40AA82D0"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p w14:paraId="68693A87"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Una vez realizada la consulta y análisis de la información financiera de la base de datos, la cual arrojó la muestra de las 455 empresas del sector objeto del presente proceso a nivel nacional, se adicionó al análisis de la muestra seleccionada, algunos los indicadores solicitados en diferentes procesos de obra, adecuaciones e infraestructura anteriores adelantados por el SENA a nivel nacional incluidos el Centro Agropecuario La Graja – Regional Tolima, en los últimos tres años con la intención de garantizar el principio de pluralidad de oferentes, pero al mismo tiempo exigiendo indicadores que se encuentren enmarcados dentro de las tendencias financieras del sector tanto a nivel nacional, como regional.</w:t>
      </w:r>
    </w:p>
    <w:p w14:paraId="27F74C7F" w14:textId="77777777" w:rsidR="00572AD5" w:rsidRDefault="00572AD5">
      <w:pPr>
        <w:pBdr>
          <w:top w:val="nil"/>
          <w:left w:val="nil"/>
          <w:bottom w:val="nil"/>
          <w:right w:val="nil"/>
          <w:between w:val="nil"/>
        </w:pBdr>
        <w:spacing w:after="120"/>
        <w:ind w:right="318"/>
        <w:jc w:val="both"/>
        <w:rPr>
          <w:rFonts w:ascii="Arial" w:eastAsia="Arial" w:hAnsi="Arial" w:cs="Arial"/>
          <w:color w:val="000000"/>
          <w:sz w:val="22"/>
          <w:szCs w:val="22"/>
        </w:rPr>
      </w:pPr>
    </w:p>
    <w:tbl>
      <w:tblPr>
        <w:tblStyle w:val="af5"/>
        <w:tblW w:w="8625" w:type="dxa"/>
        <w:jc w:val="center"/>
        <w:tblInd w:w="0" w:type="dxa"/>
        <w:tblLayout w:type="fixed"/>
        <w:tblLook w:val="0400" w:firstRow="0" w:lastRow="0" w:firstColumn="0" w:lastColumn="0" w:noHBand="0" w:noVBand="1"/>
      </w:tblPr>
      <w:tblGrid>
        <w:gridCol w:w="2258"/>
        <w:gridCol w:w="851"/>
        <w:gridCol w:w="1341"/>
        <w:gridCol w:w="1134"/>
        <w:gridCol w:w="1101"/>
        <w:gridCol w:w="1101"/>
        <w:gridCol w:w="839"/>
      </w:tblGrid>
      <w:tr w:rsidR="00572AD5" w14:paraId="42058711" w14:textId="77777777">
        <w:trPr>
          <w:trHeight w:val="600"/>
          <w:jc w:val="center"/>
        </w:trPr>
        <w:tc>
          <w:tcPr>
            <w:tcW w:w="2258"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53E7CDA"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INDICADOR   --&gt;</w:t>
            </w:r>
          </w:p>
        </w:tc>
        <w:tc>
          <w:tcPr>
            <w:tcW w:w="851" w:type="dxa"/>
            <w:tcBorders>
              <w:top w:val="single" w:sz="8" w:space="0" w:color="000000"/>
              <w:left w:val="nil"/>
              <w:bottom w:val="single" w:sz="4" w:space="0" w:color="000000"/>
              <w:right w:val="single" w:sz="4" w:space="0" w:color="000000"/>
            </w:tcBorders>
            <w:shd w:val="clear" w:color="auto" w:fill="DDEBF7"/>
            <w:vAlign w:val="center"/>
          </w:tcPr>
          <w:p w14:paraId="5948936E"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341" w:type="dxa"/>
            <w:tcBorders>
              <w:top w:val="single" w:sz="8" w:space="0" w:color="000000"/>
              <w:left w:val="nil"/>
              <w:bottom w:val="single" w:sz="4" w:space="0" w:color="000000"/>
              <w:right w:val="single" w:sz="4" w:space="0" w:color="000000"/>
            </w:tcBorders>
            <w:shd w:val="clear" w:color="auto" w:fill="DDEBF7"/>
            <w:vAlign w:val="center"/>
          </w:tcPr>
          <w:p w14:paraId="504CD3CD"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Endeudamiento</w:t>
            </w:r>
          </w:p>
        </w:tc>
        <w:tc>
          <w:tcPr>
            <w:tcW w:w="1134" w:type="dxa"/>
            <w:tcBorders>
              <w:top w:val="single" w:sz="8" w:space="0" w:color="000000"/>
              <w:left w:val="nil"/>
              <w:bottom w:val="single" w:sz="4" w:space="0" w:color="000000"/>
              <w:right w:val="single" w:sz="4" w:space="0" w:color="000000"/>
            </w:tcBorders>
            <w:shd w:val="clear" w:color="auto" w:fill="DDEBF7"/>
            <w:vAlign w:val="center"/>
          </w:tcPr>
          <w:p w14:paraId="2E664E7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1101" w:type="dxa"/>
            <w:tcBorders>
              <w:top w:val="single" w:sz="8" w:space="0" w:color="000000"/>
              <w:left w:val="nil"/>
              <w:bottom w:val="single" w:sz="4" w:space="0" w:color="000000"/>
              <w:right w:val="single" w:sz="4" w:space="0" w:color="000000"/>
            </w:tcBorders>
            <w:shd w:val="clear" w:color="auto" w:fill="DDEBF7"/>
            <w:vAlign w:val="center"/>
          </w:tcPr>
          <w:p w14:paraId="25DC1F4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1101" w:type="dxa"/>
            <w:tcBorders>
              <w:top w:val="single" w:sz="8" w:space="0" w:color="000000"/>
              <w:left w:val="nil"/>
              <w:bottom w:val="single" w:sz="4" w:space="0" w:color="000000"/>
              <w:right w:val="single" w:sz="4" w:space="0" w:color="000000"/>
            </w:tcBorders>
            <w:shd w:val="clear" w:color="auto" w:fill="DDEBF7"/>
            <w:vAlign w:val="center"/>
          </w:tcPr>
          <w:p w14:paraId="08A841D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839" w:type="dxa"/>
            <w:tcBorders>
              <w:top w:val="single" w:sz="8" w:space="0" w:color="000000"/>
              <w:left w:val="nil"/>
              <w:bottom w:val="single" w:sz="4" w:space="0" w:color="000000"/>
              <w:right w:val="single" w:sz="8" w:space="0" w:color="000000"/>
            </w:tcBorders>
            <w:shd w:val="clear" w:color="auto" w:fill="DDEBF7"/>
            <w:vAlign w:val="center"/>
          </w:tcPr>
          <w:p w14:paraId="39F33358"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2F83CCE4"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691B77A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Proceso Obra APE-Cali </w:t>
            </w:r>
            <w:r>
              <w:rPr>
                <w:rFonts w:ascii="Arial" w:eastAsia="Arial" w:hAnsi="Arial" w:cs="Arial"/>
                <w:color w:val="000000"/>
                <w:sz w:val="16"/>
                <w:szCs w:val="16"/>
              </w:rPr>
              <w:br/>
              <w:t>SAMC-VLL-0007-2022</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DCB4C9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1,30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5B470D4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70%</w:t>
            </w:r>
          </w:p>
        </w:tc>
        <w:tc>
          <w:tcPr>
            <w:tcW w:w="1134" w:type="dxa"/>
            <w:tcBorders>
              <w:top w:val="nil"/>
              <w:left w:val="nil"/>
              <w:bottom w:val="single" w:sz="4" w:space="0" w:color="000000"/>
              <w:right w:val="single" w:sz="4" w:space="0" w:color="000000"/>
            </w:tcBorders>
            <w:shd w:val="clear" w:color="auto" w:fill="auto"/>
            <w:vAlign w:val="center"/>
          </w:tcPr>
          <w:p w14:paraId="4FD572B9"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2,50</w:t>
            </w:r>
          </w:p>
        </w:tc>
        <w:tc>
          <w:tcPr>
            <w:tcW w:w="1101" w:type="dxa"/>
            <w:tcBorders>
              <w:top w:val="nil"/>
              <w:left w:val="nil"/>
              <w:bottom w:val="single" w:sz="4" w:space="0" w:color="000000"/>
              <w:right w:val="single" w:sz="4" w:space="0" w:color="000000"/>
            </w:tcBorders>
            <w:shd w:val="clear" w:color="auto" w:fill="auto"/>
            <w:vAlign w:val="center"/>
          </w:tcPr>
          <w:p w14:paraId="4A9F0EC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1101" w:type="dxa"/>
            <w:tcBorders>
              <w:top w:val="nil"/>
              <w:left w:val="nil"/>
              <w:bottom w:val="single" w:sz="4" w:space="0" w:color="000000"/>
              <w:right w:val="single" w:sz="4" w:space="0" w:color="000000"/>
            </w:tcBorders>
            <w:shd w:val="clear" w:color="auto" w:fill="auto"/>
            <w:vAlign w:val="center"/>
          </w:tcPr>
          <w:p w14:paraId="5307C86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839" w:type="dxa"/>
            <w:tcBorders>
              <w:top w:val="nil"/>
              <w:left w:val="nil"/>
              <w:bottom w:val="single" w:sz="4" w:space="0" w:color="000000"/>
              <w:right w:val="single" w:sz="8" w:space="0" w:color="000000"/>
            </w:tcBorders>
            <w:shd w:val="clear" w:color="auto" w:fill="auto"/>
            <w:vAlign w:val="center"/>
          </w:tcPr>
          <w:p w14:paraId="6C9F1F6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w:t>
            </w:r>
          </w:p>
        </w:tc>
      </w:tr>
      <w:tr w:rsidR="00572AD5" w14:paraId="123A2918"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6E581C05"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Atlántico</w:t>
            </w:r>
            <w:r>
              <w:rPr>
                <w:rFonts w:ascii="Arial" w:eastAsia="Arial" w:hAnsi="Arial" w:cs="Arial"/>
                <w:color w:val="000000"/>
                <w:sz w:val="16"/>
                <w:szCs w:val="16"/>
              </w:rPr>
              <w:br/>
              <w:t>SAMC-ATL-0040-2021</w:t>
            </w:r>
          </w:p>
        </w:tc>
        <w:tc>
          <w:tcPr>
            <w:tcW w:w="851" w:type="dxa"/>
            <w:tcBorders>
              <w:top w:val="nil"/>
              <w:left w:val="nil"/>
              <w:bottom w:val="single" w:sz="4" w:space="0" w:color="000000"/>
              <w:right w:val="single" w:sz="4" w:space="0" w:color="000000"/>
            </w:tcBorders>
            <w:shd w:val="clear" w:color="auto" w:fill="auto"/>
            <w:vAlign w:val="center"/>
          </w:tcPr>
          <w:p w14:paraId="4537D9D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1,50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0AABCCEB"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59%</w:t>
            </w:r>
          </w:p>
        </w:tc>
        <w:tc>
          <w:tcPr>
            <w:tcW w:w="1134" w:type="dxa"/>
            <w:tcBorders>
              <w:top w:val="nil"/>
              <w:left w:val="nil"/>
              <w:bottom w:val="single" w:sz="4" w:space="0" w:color="000000"/>
              <w:right w:val="single" w:sz="4" w:space="0" w:color="000000"/>
            </w:tcBorders>
            <w:shd w:val="clear" w:color="auto" w:fill="auto"/>
            <w:vAlign w:val="center"/>
          </w:tcPr>
          <w:p w14:paraId="7BE10A5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2,00</w:t>
            </w:r>
          </w:p>
        </w:tc>
        <w:tc>
          <w:tcPr>
            <w:tcW w:w="1101" w:type="dxa"/>
            <w:tcBorders>
              <w:top w:val="nil"/>
              <w:left w:val="nil"/>
              <w:bottom w:val="single" w:sz="4" w:space="0" w:color="000000"/>
              <w:right w:val="single" w:sz="4" w:space="0" w:color="000000"/>
            </w:tcBorders>
            <w:shd w:val="clear" w:color="auto" w:fill="auto"/>
            <w:vAlign w:val="center"/>
          </w:tcPr>
          <w:p w14:paraId="03579E6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01" w:type="dxa"/>
            <w:tcBorders>
              <w:top w:val="nil"/>
              <w:left w:val="nil"/>
              <w:bottom w:val="single" w:sz="4" w:space="0" w:color="000000"/>
              <w:right w:val="single" w:sz="4" w:space="0" w:color="000000"/>
            </w:tcBorders>
            <w:shd w:val="clear" w:color="auto" w:fill="auto"/>
            <w:vAlign w:val="center"/>
          </w:tcPr>
          <w:p w14:paraId="5365933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0,08</w:t>
            </w:r>
          </w:p>
        </w:tc>
        <w:tc>
          <w:tcPr>
            <w:tcW w:w="839" w:type="dxa"/>
            <w:tcBorders>
              <w:top w:val="nil"/>
              <w:left w:val="nil"/>
              <w:bottom w:val="single" w:sz="4" w:space="0" w:color="000000"/>
              <w:right w:val="single" w:sz="8" w:space="0" w:color="000000"/>
            </w:tcBorders>
            <w:shd w:val="clear" w:color="auto" w:fill="auto"/>
            <w:vAlign w:val="center"/>
          </w:tcPr>
          <w:p w14:paraId="7ACC7F3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7BB7E440"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5C4740C7"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Obras CALG-2022</w:t>
            </w:r>
            <w:r>
              <w:rPr>
                <w:rFonts w:ascii="Arial" w:eastAsia="Arial" w:hAnsi="Arial" w:cs="Arial"/>
                <w:color w:val="000000"/>
                <w:sz w:val="16"/>
                <w:szCs w:val="16"/>
              </w:rPr>
              <w:br/>
              <w:t>SAMC-TLM-CAG-015-2022</w:t>
            </w:r>
          </w:p>
        </w:tc>
        <w:tc>
          <w:tcPr>
            <w:tcW w:w="851" w:type="dxa"/>
            <w:tcBorders>
              <w:top w:val="nil"/>
              <w:left w:val="nil"/>
              <w:bottom w:val="single" w:sz="4" w:space="0" w:color="000000"/>
              <w:right w:val="single" w:sz="4" w:space="0" w:color="000000"/>
            </w:tcBorders>
            <w:shd w:val="clear" w:color="auto" w:fill="auto"/>
            <w:vAlign w:val="center"/>
          </w:tcPr>
          <w:p w14:paraId="348D01F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1,40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2090206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30%</w:t>
            </w:r>
          </w:p>
        </w:tc>
        <w:tc>
          <w:tcPr>
            <w:tcW w:w="1134" w:type="dxa"/>
            <w:tcBorders>
              <w:top w:val="nil"/>
              <w:left w:val="nil"/>
              <w:bottom w:val="single" w:sz="4" w:space="0" w:color="000000"/>
              <w:right w:val="single" w:sz="4" w:space="0" w:color="000000"/>
            </w:tcBorders>
            <w:shd w:val="clear" w:color="auto" w:fill="auto"/>
            <w:vAlign w:val="center"/>
          </w:tcPr>
          <w:p w14:paraId="54376BC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10,00</w:t>
            </w:r>
          </w:p>
        </w:tc>
        <w:tc>
          <w:tcPr>
            <w:tcW w:w="1101" w:type="dxa"/>
            <w:tcBorders>
              <w:top w:val="nil"/>
              <w:left w:val="nil"/>
              <w:bottom w:val="single" w:sz="4" w:space="0" w:color="000000"/>
              <w:right w:val="single" w:sz="4" w:space="0" w:color="000000"/>
            </w:tcBorders>
            <w:shd w:val="clear" w:color="auto" w:fill="auto"/>
            <w:vAlign w:val="center"/>
          </w:tcPr>
          <w:p w14:paraId="6D2D934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01" w:type="dxa"/>
            <w:tcBorders>
              <w:top w:val="nil"/>
              <w:left w:val="nil"/>
              <w:bottom w:val="single" w:sz="4" w:space="0" w:color="000000"/>
              <w:right w:val="single" w:sz="4" w:space="0" w:color="000000"/>
            </w:tcBorders>
            <w:shd w:val="clear" w:color="auto" w:fill="auto"/>
            <w:vAlign w:val="center"/>
          </w:tcPr>
          <w:p w14:paraId="087794D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839" w:type="dxa"/>
            <w:tcBorders>
              <w:top w:val="nil"/>
              <w:left w:val="nil"/>
              <w:bottom w:val="single" w:sz="4" w:space="0" w:color="000000"/>
              <w:right w:val="single" w:sz="8" w:space="0" w:color="000000"/>
            </w:tcBorders>
            <w:shd w:val="clear" w:color="auto" w:fill="auto"/>
            <w:vAlign w:val="center"/>
          </w:tcPr>
          <w:p w14:paraId="6E95966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5E698BF6"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58BC6EBF"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Huila</w:t>
            </w:r>
            <w:r>
              <w:rPr>
                <w:rFonts w:ascii="Arial" w:eastAsia="Arial" w:hAnsi="Arial" w:cs="Arial"/>
                <w:color w:val="000000"/>
                <w:sz w:val="16"/>
                <w:szCs w:val="16"/>
              </w:rPr>
              <w:br/>
              <w:t>SAMC-HIL-CEFA-0004-2022</w:t>
            </w:r>
          </w:p>
        </w:tc>
        <w:tc>
          <w:tcPr>
            <w:tcW w:w="851" w:type="dxa"/>
            <w:tcBorders>
              <w:top w:val="nil"/>
              <w:left w:val="nil"/>
              <w:bottom w:val="single" w:sz="4" w:space="0" w:color="000000"/>
              <w:right w:val="single" w:sz="4" w:space="0" w:color="000000"/>
            </w:tcBorders>
            <w:shd w:val="clear" w:color="auto" w:fill="auto"/>
            <w:vAlign w:val="center"/>
          </w:tcPr>
          <w:p w14:paraId="4FF18D3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00C2A20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60%</w:t>
            </w:r>
          </w:p>
        </w:tc>
        <w:tc>
          <w:tcPr>
            <w:tcW w:w="1134" w:type="dxa"/>
            <w:tcBorders>
              <w:top w:val="nil"/>
              <w:left w:val="nil"/>
              <w:bottom w:val="single" w:sz="4" w:space="0" w:color="000000"/>
              <w:right w:val="single" w:sz="4" w:space="0" w:color="000000"/>
            </w:tcBorders>
            <w:shd w:val="clear" w:color="auto" w:fill="auto"/>
            <w:vAlign w:val="center"/>
          </w:tcPr>
          <w:p w14:paraId="45CE27A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01" w:type="dxa"/>
            <w:tcBorders>
              <w:top w:val="nil"/>
              <w:left w:val="nil"/>
              <w:bottom w:val="single" w:sz="4" w:space="0" w:color="000000"/>
              <w:right w:val="single" w:sz="4" w:space="0" w:color="000000"/>
            </w:tcBorders>
            <w:shd w:val="clear" w:color="auto" w:fill="auto"/>
            <w:vAlign w:val="center"/>
          </w:tcPr>
          <w:p w14:paraId="10D508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01" w:type="dxa"/>
            <w:tcBorders>
              <w:top w:val="nil"/>
              <w:left w:val="nil"/>
              <w:bottom w:val="single" w:sz="4" w:space="0" w:color="000000"/>
              <w:right w:val="single" w:sz="4" w:space="0" w:color="000000"/>
            </w:tcBorders>
            <w:shd w:val="clear" w:color="auto" w:fill="auto"/>
            <w:vAlign w:val="center"/>
          </w:tcPr>
          <w:p w14:paraId="57C1021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839" w:type="dxa"/>
            <w:tcBorders>
              <w:top w:val="nil"/>
              <w:left w:val="nil"/>
              <w:bottom w:val="single" w:sz="4" w:space="0" w:color="000000"/>
              <w:right w:val="single" w:sz="8" w:space="0" w:color="000000"/>
            </w:tcBorders>
            <w:shd w:val="clear" w:color="auto" w:fill="auto"/>
            <w:vAlign w:val="center"/>
          </w:tcPr>
          <w:p w14:paraId="227ADC7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25300B2C" w14:textId="77777777">
        <w:trPr>
          <w:trHeight w:val="499"/>
          <w:jc w:val="center"/>
        </w:trPr>
        <w:tc>
          <w:tcPr>
            <w:tcW w:w="2258" w:type="dxa"/>
            <w:tcBorders>
              <w:top w:val="single" w:sz="4" w:space="0" w:color="000000"/>
              <w:left w:val="single" w:sz="8" w:space="0" w:color="000000"/>
              <w:bottom w:val="single" w:sz="8" w:space="0" w:color="000000"/>
              <w:right w:val="single" w:sz="8" w:space="0" w:color="000000"/>
            </w:tcBorders>
            <w:shd w:val="clear" w:color="auto" w:fill="auto"/>
          </w:tcPr>
          <w:p w14:paraId="122B536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Quindío</w:t>
            </w:r>
            <w:r>
              <w:rPr>
                <w:rFonts w:ascii="Arial" w:eastAsia="Arial" w:hAnsi="Arial" w:cs="Arial"/>
                <w:color w:val="000000"/>
                <w:sz w:val="16"/>
                <w:szCs w:val="16"/>
              </w:rPr>
              <w:br/>
              <w:t>SAMC-QDO-CDTCI-027-2022</w:t>
            </w:r>
          </w:p>
        </w:tc>
        <w:tc>
          <w:tcPr>
            <w:tcW w:w="851" w:type="dxa"/>
            <w:tcBorders>
              <w:top w:val="single" w:sz="4" w:space="0" w:color="000000"/>
              <w:left w:val="nil"/>
              <w:bottom w:val="single" w:sz="8" w:space="0" w:color="000000"/>
              <w:right w:val="single" w:sz="4" w:space="0" w:color="000000"/>
            </w:tcBorders>
            <w:shd w:val="clear" w:color="auto" w:fill="auto"/>
            <w:vAlign w:val="center"/>
          </w:tcPr>
          <w:p w14:paraId="232C6E7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2,55</w:t>
            </w:r>
          </w:p>
        </w:tc>
        <w:tc>
          <w:tcPr>
            <w:tcW w:w="1341" w:type="dxa"/>
            <w:tcBorders>
              <w:top w:val="nil"/>
              <w:left w:val="nil"/>
              <w:bottom w:val="single" w:sz="8" w:space="0" w:color="000000"/>
              <w:right w:val="single" w:sz="4" w:space="0" w:color="000000"/>
            </w:tcBorders>
            <w:shd w:val="clear" w:color="auto" w:fill="auto"/>
            <w:vAlign w:val="center"/>
          </w:tcPr>
          <w:p w14:paraId="7A978E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52%</w:t>
            </w:r>
          </w:p>
        </w:tc>
        <w:tc>
          <w:tcPr>
            <w:tcW w:w="1134" w:type="dxa"/>
            <w:tcBorders>
              <w:top w:val="nil"/>
              <w:left w:val="nil"/>
              <w:bottom w:val="single" w:sz="8" w:space="0" w:color="000000"/>
              <w:right w:val="single" w:sz="4" w:space="0" w:color="000000"/>
            </w:tcBorders>
            <w:shd w:val="clear" w:color="auto" w:fill="auto"/>
            <w:vAlign w:val="center"/>
          </w:tcPr>
          <w:p w14:paraId="234FE1B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6,53</w:t>
            </w:r>
          </w:p>
        </w:tc>
        <w:tc>
          <w:tcPr>
            <w:tcW w:w="1101" w:type="dxa"/>
            <w:tcBorders>
              <w:top w:val="nil"/>
              <w:left w:val="nil"/>
              <w:bottom w:val="single" w:sz="8" w:space="0" w:color="000000"/>
              <w:right w:val="single" w:sz="4" w:space="0" w:color="000000"/>
            </w:tcBorders>
            <w:shd w:val="clear" w:color="auto" w:fill="auto"/>
            <w:vAlign w:val="center"/>
          </w:tcPr>
          <w:p w14:paraId="4A92FD0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0,09</w:t>
            </w:r>
          </w:p>
        </w:tc>
        <w:tc>
          <w:tcPr>
            <w:tcW w:w="1101" w:type="dxa"/>
            <w:tcBorders>
              <w:top w:val="nil"/>
              <w:left w:val="nil"/>
              <w:bottom w:val="single" w:sz="8" w:space="0" w:color="000000"/>
              <w:right w:val="single" w:sz="4" w:space="0" w:color="000000"/>
            </w:tcBorders>
            <w:shd w:val="clear" w:color="auto" w:fill="auto"/>
            <w:vAlign w:val="center"/>
          </w:tcPr>
          <w:p w14:paraId="0401BD5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839" w:type="dxa"/>
            <w:tcBorders>
              <w:top w:val="nil"/>
              <w:left w:val="nil"/>
              <w:bottom w:val="single" w:sz="8" w:space="0" w:color="000000"/>
              <w:right w:val="single" w:sz="8" w:space="0" w:color="000000"/>
            </w:tcBorders>
            <w:shd w:val="clear" w:color="auto" w:fill="auto"/>
            <w:vAlign w:val="center"/>
          </w:tcPr>
          <w:p w14:paraId="51C8F37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bl>
    <w:p w14:paraId="3F2957A6"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p w14:paraId="30144BC7"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 xml:space="preserve">Posteriormente la Entidad, tomó los datos arrojados por la base de datos seleccionada de la Superintendencia de Sociedades, incluyendo los indicadores financieros de los procesos adelantados por la Entidad a nivel nacional y regional, consolidando el análisis de manera que se pudieran establecer los siguientes indicadores para el proceso a adelantar en esta vigencia.  </w:t>
      </w:r>
    </w:p>
    <w:p w14:paraId="15ABEE48"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tbl>
      <w:tblPr>
        <w:tblStyle w:val="af6"/>
        <w:tblW w:w="8489" w:type="dxa"/>
        <w:tblInd w:w="0" w:type="dxa"/>
        <w:tblLayout w:type="fixed"/>
        <w:tblLook w:val="0400" w:firstRow="0" w:lastRow="0" w:firstColumn="0" w:lastColumn="0" w:noHBand="0" w:noVBand="1"/>
      </w:tblPr>
      <w:tblGrid>
        <w:gridCol w:w="1062"/>
        <w:gridCol w:w="1056"/>
        <w:gridCol w:w="287"/>
        <w:gridCol w:w="851"/>
        <w:gridCol w:w="1134"/>
        <w:gridCol w:w="992"/>
        <w:gridCol w:w="992"/>
        <w:gridCol w:w="992"/>
        <w:gridCol w:w="1123"/>
      </w:tblGrid>
      <w:tr w:rsidR="00572AD5" w14:paraId="07161F07" w14:textId="77777777">
        <w:trPr>
          <w:trHeight w:val="600"/>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FE10397"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 xml:space="preserve">INDICADOR   -&gt;  </w:t>
            </w:r>
          </w:p>
        </w:tc>
        <w:tc>
          <w:tcPr>
            <w:tcW w:w="851" w:type="dxa"/>
            <w:tcBorders>
              <w:top w:val="single" w:sz="8" w:space="0" w:color="000000"/>
              <w:left w:val="single" w:sz="8" w:space="0" w:color="000000"/>
              <w:bottom w:val="single" w:sz="4" w:space="0" w:color="000000"/>
              <w:right w:val="single" w:sz="4" w:space="0" w:color="000000"/>
            </w:tcBorders>
            <w:shd w:val="clear" w:color="auto" w:fill="DDEBF7"/>
            <w:vAlign w:val="center"/>
          </w:tcPr>
          <w:p w14:paraId="7653A3F9"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134" w:type="dxa"/>
            <w:tcBorders>
              <w:top w:val="single" w:sz="8" w:space="0" w:color="000000"/>
              <w:left w:val="nil"/>
              <w:bottom w:val="single" w:sz="4" w:space="0" w:color="000000"/>
              <w:right w:val="single" w:sz="4" w:space="0" w:color="000000"/>
            </w:tcBorders>
            <w:shd w:val="clear" w:color="auto" w:fill="DDEBF7"/>
            <w:vAlign w:val="center"/>
          </w:tcPr>
          <w:p w14:paraId="01C68BDC"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 miento</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38F028E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705DDF50"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5C4CF62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1123" w:type="dxa"/>
            <w:tcBorders>
              <w:top w:val="single" w:sz="8" w:space="0" w:color="000000"/>
              <w:left w:val="nil"/>
              <w:bottom w:val="single" w:sz="4" w:space="0" w:color="000000"/>
              <w:right w:val="single" w:sz="8" w:space="0" w:color="000000"/>
            </w:tcBorders>
            <w:shd w:val="clear" w:color="auto" w:fill="DDEBF7"/>
            <w:vAlign w:val="center"/>
          </w:tcPr>
          <w:p w14:paraId="0F8BF3D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5C49314C" w14:textId="77777777">
        <w:trPr>
          <w:trHeight w:val="660"/>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B1118D"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 xml:space="preserve">Formula   -&gt; </w:t>
            </w:r>
          </w:p>
        </w:tc>
        <w:tc>
          <w:tcPr>
            <w:tcW w:w="851" w:type="dxa"/>
            <w:tcBorders>
              <w:top w:val="nil"/>
              <w:left w:val="single" w:sz="8" w:space="0" w:color="000000"/>
              <w:bottom w:val="single" w:sz="8" w:space="0" w:color="000000"/>
              <w:right w:val="single" w:sz="4" w:space="0" w:color="000000"/>
            </w:tcBorders>
            <w:shd w:val="clear" w:color="auto" w:fill="DDEBF7"/>
            <w:vAlign w:val="center"/>
          </w:tcPr>
          <w:p w14:paraId="01FB4F6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(ACT CTE / PAS CTE)</w:t>
            </w:r>
          </w:p>
        </w:tc>
        <w:tc>
          <w:tcPr>
            <w:tcW w:w="1134" w:type="dxa"/>
            <w:tcBorders>
              <w:top w:val="nil"/>
              <w:left w:val="nil"/>
              <w:bottom w:val="single" w:sz="8" w:space="0" w:color="000000"/>
              <w:right w:val="single" w:sz="4" w:space="0" w:color="000000"/>
            </w:tcBorders>
            <w:shd w:val="clear" w:color="auto" w:fill="DDEBF7"/>
            <w:vAlign w:val="center"/>
          </w:tcPr>
          <w:p w14:paraId="2121DB9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(PAS TOTAL / ACT TOTAL)</w:t>
            </w:r>
          </w:p>
        </w:tc>
        <w:tc>
          <w:tcPr>
            <w:tcW w:w="992" w:type="dxa"/>
            <w:tcBorders>
              <w:top w:val="nil"/>
              <w:left w:val="nil"/>
              <w:bottom w:val="single" w:sz="8" w:space="0" w:color="000000"/>
              <w:right w:val="single" w:sz="4" w:space="0" w:color="000000"/>
            </w:tcBorders>
            <w:shd w:val="clear" w:color="auto" w:fill="DDEBF7"/>
            <w:vAlign w:val="center"/>
          </w:tcPr>
          <w:p w14:paraId="2AF1FA0A"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GASTOS FINANCIEROS)</w:t>
            </w:r>
          </w:p>
        </w:tc>
        <w:tc>
          <w:tcPr>
            <w:tcW w:w="992" w:type="dxa"/>
            <w:tcBorders>
              <w:top w:val="nil"/>
              <w:left w:val="nil"/>
              <w:bottom w:val="single" w:sz="8" w:space="0" w:color="000000"/>
              <w:right w:val="single" w:sz="4" w:space="0" w:color="000000"/>
            </w:tcBorders>
            <w:shd w:val="clear" w:color="auto" w:fill="DDEBF7"/>
            <w:vAlign w:val="center"/>
          </w:tcPr>
          <w:p w14:paraId="2012155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PATRIMONIO)</w:t>
            </w:r>
          </w:p>
        </w:tc>
        <w:tc>
          <w:tcPr>
            <w:tcW w:w="992" w:type="dxa"/>
            <w:tcBorders>
              <w:top w:val="nil"/>
              <w:left w:val="nil"/>
              <w:bottom w:val="single" w:sz="8" w:space="0" w:color="000000"/>
              <w:right w:val="single" w:sz="4" w:space="0" w:color="000000"/>
            </w:tcBorders>
            <w:shd w:val="clear" w:color="auto" w:fill="DDEBF7"/>
            <w:vAlign w:val="center"/>
          </w:tcPr>
          <w:p w14:paraId="70CA98C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ACTIVO)</w:t>
            </w:r>
          </w:p>
        </w:tc>
        <w:tc>
          <w:tcPr>
            <w:tcW w:w="1123" w:type="dxa"/>
            <w:tcBorders>
              <w:top w:val="nil"/>
              <w:left w:val="nil"/>
              <w:bottom w:val="single" w:sz="8" w:space="0" w:color="000000"/>
              <w:right w:val="single" w:sz="8" w:space="0" w:color="000000"/>
            </w:tcBorders>
            <w:shd w:val="clear" w:color="auto" w:fill="DDEBF7"/>
            <w:vAlign w:val="center"/>
          </w:tcPr>
          <w:p w14:paraId="2753FE2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(ACT CTE - PAS CTE) / Presupuesto del Proceso</w:t>
            </w:r>
          </w:p>
        </w:tc>
      </w:tr>
      <w:tr w:rsidR="00572AD5" w14:paraId="472E2105"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7EF50D5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Análisis Base de datos </w:t>
            </w:r>
          </w:p>
          <w:p w14:paraId="1A0ECA68"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Superintendencia de Sociedades</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4477C9FA"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2,28</w:t>
            </w:r>
          </w:p>
        </w:tc>
        <w:tc>
          <w:tcPr>
            <w:tcW w:w="1134" w:type="dxa"/>
            <w:tcBorders>
              <w:top w:val="nil"/>
              <w:left w:val="nil"/>
              <w:bottom w:val="single" w:sz="4" w:space="0" w:color="000000"/>
              <w:right w:val="single" w:sz="4" w:space="0" w:color="000000"/>
            </w:tcBorders>
            <w:shd w:val="clear" w:color="auto" w:fill="auto"/>
            <w:vAlign w:val="center"/>
          </w:tcPr>
          <w:p w14:paraId="428C5FA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55%</w:t>
            </w:r>
          </w:p>
        </w:tc>
        <w:tc>
          <w:tcPr>
            <w:tcW w:w="992" w:type="dxa"/>
            <w:tcBorders>
              <w:top w:val="nil"/>
              <w:left w:val="nil"/>
              <w:bottom w:val="single" w:sz="4" w:space="0" w:color="000000"/>
              <w:right w:val="single" w:sz="4" w:space="0" w:color="000000"/>
            </w:tcBorders>
            <w:shd w:val="clear" w:color="auto" w:fill="auto"/>
            <w:vAlign w:val="center"/>
          </w:tcPr>
          <w:p w14:paraId="1E3D54D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3,91</w:t>
            </w:r>
          </w:p>
        </w:tc>
        <w:tc>
          <w:tcPr>
            <w:tcW w:w="992" w:type="dxa"/>
            <w:tcBorders>
              <w:top w:val="nil"/>
              <w:left w:val="nil"/>
              <w:bottom w:val="single" w:sz="4" w:space="0" w:color="000000"/>
              <w:right w:val="single" w:sz="4" w:space="0" w:color="000000"/>
            </w:tcBorders>
            <w:shd w:val="clear" w:color="auto" w:fill="auto"/>
            <w:vAlign w:val="center"/>
          </w:tcPr>
          <w:p w14:paraId="31ED970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0,16</w:t>
            </w:r>
          </w:p>
        </w:tc>
        <w:tc>
          <w:tcPr>
            <w:tcW w:w="992" w:type="dxa"/>
            <w:tcBorders>
              <w:top w:val="nil"/>
              <w:left w:val="nil"/>
              <w:bottom w:val="single" w:sz="4" w:space="0" w:color="000000"/>
              <w:right w:val="single" w:sz="4" w:space="0" w:color="000000"/>
            </w:tcBorders>
            <w:shd w:val="clear" w:color="auto" w:fill="auto"/>
            <w:vAlign w:val="center"/>
          </w:tcPr>
          <w:p w14:paraId="02C79AD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1123" w:type="dxa"/>
            <w:tcBorders>
              <w:top w:val="nil"/>
              <w:left w:val="nil"/>
              <w:bottom w:val="single" w:sz="4" w:space="0" w:color="000000"/>
              <w:right w:val="single" w:sz="8" w:space="0" w:color="000000"/>
            </w:tcBorders>
            <w:shd w:val="clear" w:color="auto" w:fill="auto"/>
            <w:vAlign w:val="center"/>
          </w:tcPr>
          <w:p w14:paraId="3E8D20B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80%</w:t>
            </w:r>
          </w:p>
        </w:tc>
      </w:tr>
      <w:tr w:rsidR="00572AD5" w14:paraId="4C054C44"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4FB5A14B"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Proceso Obra APE-Cali </w:t>
            </w:r>
            <w:r>
              <w:rPr>
                <w:rFonts w:ascii="Arial" w:eastAsia="Arial" w:hAnsi="Arial" w:cs="Arial"/>
                <w:color w:val="000000"/>
                <w:sz w:val="16"/>
                <w:szCs w:val="16"/>
              </w:rPr>
              <w:br/>
              <w:t>SAMC-VLL-0007-2022</w:t>
            </w:r>
          </w:p>
        </w:tc>
        <w:tc>
          <w:tcPr>
            <w:tcW w:w="851"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5F9AA5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1,30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56089B4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70%</w:t>
            </w:r>
          </w:p>
        </w:tc>
        <w:tc>
          <w:tcPr>
            <w:tcW w:w="992" w:type="dxa"/>
            <w:tcBorders>
              <w:top w:val="nil"/>
              <w:left w:val="nil"/>
              <w:bottom w:val="single" w:sz="4" w:space="0" w:color="000000"/>
              <w:right w:val="single" w:sz="4" w:space="0" w:color="000000"/>
            </w:tcBorders>
            <w:shd w:val="clear" w:color="auto" w:fill="auto"/>
            <w:vAlign w:val="center"/>
          </w:tcPr>
          <w:p w14:paraId="2338E9A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2,50</w:t>
            </w:r>
          </w:p>
        </w:tc>
        <w:tc>
          <w:tcPr>
            <w:tcW w:w="992" w:type="dxa"/>
            <w:tcBorders>
              <w:top w:val="nil"/>
              <w:left w:val="nil"/>
              <w:bottom w:val="single" w:sz="4" w:space="0" w:color="000000"/>
              <w:right w:val="single" w:sz="4" w:space="0" w:color="000000"/>
            </w:tcBorders>
            <w:shd w:val="clear" w:color="auto" w:fill="auto"/>
            <w:vAlign w:val="center"/>
          </w:tcPr>
          <w:p w14:paraId="59695C4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992" w:type="dxa"/>
            <w:tcBorders>
              <w:top w:val="nil"/>
              <w:left w:val="nil"/>
              <w:bottom w:val="single" w:sz="4" w:space="0" w:color="000000"/>
              <w:right w:val="single" w:sz="4" w:space="0" w:color="000000"/>
            </w:tcBorders>
            <w:shd w:val="clear" w:color="auto" w:fill="auto"/>
            <w:vAlign w:val="center"/>
          </w:tcPr>
          <w:p w14:paraId="3A04EB4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1123" w:type="dxa"/>
            <w:tcBorders>
              <w:top w:val="nil"/>
              <w:left w:val="nil"/>
              <w:bottom w:val="single" w:sz="4" w:space="0" w:color="000000"/>
              <w:right w:val="single" w:sz="8" w:space="0" w:color="000000"/>
            </w:tcBorders>
            <w:shd w:val="clear" w:color="auto" w:fill="auto"/>
            <w:vAlign w:val="center"/>
          </w:tcPr>
          <w:p w14:paraId="69C1D495"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w:t>
            </w:r>
          </w:p>
        </w:tc>
      </w:tr>
      <w:tr w:rsidR="00572AD5" w14:paraId="60F1CAB6"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024BBB60"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lastRenderedPageBreak/>
              <w:t>Proceso Obra Atlántico</w:t>
            </w:r>
            <w:r>
              <w:rPr>
                <w:rFonts w:ascii="Arial" w:eastAsia="Arial" w:hAnsi="Arial" w:cs="Arial"/>
                <w:color w:val="000000"/>
                <w:sz w:val="16"/>
                <w:szCs w:val="16"/>
              </w:rPr>
              <w:br/>
              <w:t>SAMC-ATL-0040-2021</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2E60103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1,50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365AEC9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59%</w:t>
            </w:r>
          </w:p>
        </w:tc>
        <w:tc>
          <w:tcPr>
            <w:tcW w:w="992" w:type="dxa"/>
            <w:tcBorders>
              <w:top w:val="nil"/>
              <w:left w:val="nil"/>
              <w:bottom w:val="single" w:sz="4" w:space="0" w:color="000000"/>
              <w:right w:val="single" w:sz="4" w:space="0" w:color="000000"/>
            </w:tcBorders>
            <w:shd w:val="clear" w:color="auto" w:fill="auto"/>
            <w:vAlign w:val="center"/>
          </w:tcPr>
          <w:p w14:paraId="593443B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2,00</w:t>
            </w:r>
          </w:p>
        </w:tc>
        <w:tc>
          <w:tcPr>
            <w:tcW w:w="992" w:type="dxa"/>
            <w:tcBorders>
              <w:top w:val="nil"/>
              <w:left w:val="nil"/>
              <w:bottom w:val="single" w:sz="4" w:space="0" w:color="000000"/>
              <w:right w:val="single" w:sz="4" w:space="0" w:color="000000"/>
            </w:tcBorders>
            <w:shd w:val="clear" w:color="auto" w:fill="auto"/>
            <w:vAlign w:val="center"/>
          </w:tcPr>
          <w:p w14:paraId="45158C0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992" w:type="dxa"/>
            <w:tcBorders>
              <w:top w:val="nil"/>
              <w:left w:val="nil"/>
              <w:bottom w:val="single" w:sz="4" w:space="0" w:color="000000"/>
              <w:right w:val="single" w:sz="4" w:space="0" w:color="000000"/>
            </w:tcBorders>
            <w:shd w:val="clear" w:color="auto" w:fill="auto"/>
            <w:vAlign w:val="center"/>
          </w:tcPr>
          <w:p w14:paraId="66AADC1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0,08</w:t>
            </w:r>
          </w:p>
        </w:tc>
        <w:tc>
          <w:tcPr>
            <w:tcW w:w="1123" w:type="dxa"/>
            <w:tcBorders>
              <w:top w:val="nil"/>
              <w:left w:val="nil"/>
              <w:bottom w:val="single" w:sz="4" w:space="0" w:color="000000"/>
              <w:right w:val="single" w:sz="8" w:space="0" w:color="000000"/>
            </w:tcBorders>
            <w:shd w:val="clear" w:color="auto" w:fill="auto"/>
            <w:vAlign w:val="center"/>
          </w:tcPr>
          <w:p w14:paraId="43CB150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47B52337"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36FA91EB"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Obras CALG-2022</w:t>
            </w:r>
            <w:r>
              <w:rPr>
                <w:rFonts w:ascii="Arial" w:eastAsia="Arial" w:hAnsi="Arial" w:cs="Arial"/>
                <w:color w:val="000000"/>
                <w:sz w:val="16"/>
                <w:szCs w:val="16"/>
              </w:rPr>
              <w:br/>
              <w:t>SAMC-TLM-CAG-015-2022</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45BCAA2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1,40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71D791F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30%</w:t>
            </w:r>
          </w:p>
        </w:tc>
        <w:tc>
          <w:tcPr>
            <w:tcW w:w="992" w:type="dxa"/>
            <w:tcBorders>
              <w:top w:val="nil"/>
              <w:left w:val="nil"/>
              <w:bottom w:val="single" w:sz="4" w:space="0" w:color="000000"/>
              <w:right w:val="single" w:sz="4" w:space="0" w:color="000000"/>
            </w:tcBorders>
            <w:shd w:val="clear" w:color="auto" w:fill="auto"/>
            <w:vAlign w:val="center"/>
          </w:tcPr>
          <w:p w14:paraId="7606E89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10,00</w:t>
            </w:r>
          </w:p>
        </w:tc>
        <w:tc>
          <w:tcPr>
            <w:tcW w:w="992" w:type="dxa"/>
            <w:tcBorders>
              <w:top w:val="nil"/>
              <w:left w:val="nil"/>
              <w:bottom w:val="single" w:sz="4" w:space="0" w:color="000000"/>
              <w:right w:val="single" w:sz="4" w:space="0" w:color="000000"/>
            </w:tcBorders>
            <w:shd w:val="clear" w:color="auto" w:fill="auto"/>
            <w:vAlign w:val="center"/>
          </w:tcPr>
          <w:p w14:paraId="02152C6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992" w:type="dxa"/>
            <w:tcBorders>
              <w:top w:val="nil"/>
              <w:left w:val="nil"/>
              <w:bottom w:val="single" w:sz="4" w:space="0" w:color="000000"/>
              <w:right w:val="single" w:sz="4" w:space="0" w:color="000000"/>
            </w:tcBorders>
            <w:shd w:val="clear" w:color="auto" w:fill="auto"/>
            <w:vAlign w:val="center"/>
          </w:tcPr>
          <w:p w14:paraId="0154BB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23" w:type="dxa"/>
            <w:tcBorders>
              <w:top w:val="nil"/>
              <w:left w:val="nil"/>
              <w:bottom w:val="single" w:sz="4" w:space="0" w:color="000000"/>
              <w:right w:val="single" w:sz="8" w:space="0" w:color="000000"/>
            </w:tcBorders>
            <w:shd w:val="clear" w:color="auto" w:fill="auto"/>
            <w:vAlign w:val="center"/>
          </w:tcPr>
          <w:p w14:paraId="2AB6F3D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6F5642C7"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0B14D0CF"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Huila</w:t>
            </w:r>
            <w:r>
              <w:rPr>
                <w:rFonts w:ascii="Arial" w:eastAsia="Arial" w:hAnsi="Arial" w:cs="Arial"/>
                <w:color w:val="000000"/>
                <w:sz w:val="16"/>
                <w:szCs w:val="16"/>
              </w:rPr>
              <w:br/>
              <w:t>SAMC-HIL-CEFA-0004-2022</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389B4C7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38D27FE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60%</w:t>
            </w:r>
          </w:p>
        </w:tc>
        <w:tc>
          <w:tcPr>
            <w:tcW w:w="992" w:type="dxa"/>
            <w:tcBorders>
              <w:top w:val="nil"/>
              <w:left w:val="nil"/>
              <w:bottom w:val="single" w:sz="4" w:space="0" w:color="000000"/>
              <w:right w:val="single" w:sz="4" w:space="0" w:color="000000"/>
            </w:tcBorders>
            <w:shd w:val="clear" w:color="auto" w:fill="auto"/>
            <w:vAlign w:val="center"/>
          </w:tcPr>
          <w:p w14:paraId="7E826E2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center"/>
          </w:tcPr>
          <w:p w14:paraId="6CC7C95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center"/>
          </w:tcPr>
          <w:p w14:paraId="478326D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23" w:type="dxa"/>
            <w:tcBorders>
              <w:top w:val="nil"/>
              <w:left w:val="nil"/>
              <w:bottom w:val="single" w:sz="4" w:space="0" w:color="000000"/>
              <w:right w:val="single" w:sz="8" w:space="0" w:color="000000"/>
            </w:tcBorders>
            <w:shd w:val="clear" w:color="auto" w:fill="auto"/>
            <w:vAlign w:val="center"/>
          </w:tcPr>
          <w:p w14:paraId="0D757D5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59B7FC5A"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5B4CB3C5"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Quindío</w:t>
            </w:r>
            <w:r>
              <w:rPr>
                <w:rFonts w:ascii="Arial" w:eastAsia="Arial" w:hAnsi="Arial" w:cs="Arial"/>
                <w:color w:val="000000"/>
                <w:sz w:val="16"/>
                <w:szCs w:val="16"/>
              </w:rPr>
              <w:br/>
              <w:t>SAMC-QDO-CDTCI-027-2022</w:t>
            </w:r>
          </w:p>
        </w:tc>
        <w:tc>
          <w:tcPr>
            <w:tcW w:w="851" w:type="dxa"/>
            <w:tcBorders>
              <w:top w:val="single" w:sz="4" w:space="0" w:color="000000"/>
              <w:left w:val="single" w:sz="8" w:space="0" w:color="000000"/>
              <w:bottom w:val="single" w:sz="8" w:space="0" w:color="000000"/>
              <w:right w:val="single" w:sz="4" w:space="0" w:color="000000"/>
            </w:tcBorders>
            <w:shd w:val="clear" w:color="auto" w:fill="auto"/>
            <w:vAlign w:val="center"/>
          </w:tcPr>
          <w:p w14:paraId="2899609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2,55</w:t>
            </w:r>
          </w:p>
        </w:tc>
        <w:tc>
          <w:tcPr>
            <w:tcW w:w="1134" w:type="dxa"/>
            <w:tcBorders>
              <w:top w:val="nil"/>
              <w:left w:val="nil"/>
              <w:bottom w:val="single" w:sz="8" w:space="0" w:color="000000"/>
              <w:right w:val="single" w:sz="4" w:space="0" w:color="000000"/>
            </w:tcBorders>
            <w:shd w:val="clear" w:color="auto" w:fill="auto"/>
            <w:vAlign w:val="center"/>
          </w:tcPr>
          <w:p w14:paraId="1F1A3F8B"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52%</w:t>
            </w:r>
          </w:p>
        </w:tc>
        <w:tc>
          <w:tcPr>
            <w:tcW w:w="992" w:type="dxa"/>
            <w:tcBorders>
              <w:top w:val="nil"/>
              <w:left w:val="nil"/>
              <w:bottom w:val="single" w:sz="8" w:space="0" w:color="000000"/>
              <w:right w:val="single" w:sz="4" w:space="0" w:color="000000"/>
            </w:tcBorders>
            <w:shd w:val="clear" w:color="auto" w:fill="auto"/>
            <w:vAlign w:val="center"/>
          </w:tcPr>
          <w:p w14:paraId="4D04790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6,53</w:t>
            </w:r>
          </w:p>
        </w:tc>
        <w:tc>
          <w:tcPr>
            <w:tcW w:w="992" w:type="dxa"/>
            <w:tcBorders>
              <w:top w:val="nil"/>
              <w:left w:val="nil"/>
              <w:bottom w:val="single" w:sz="8" w:space="0" w:color="000000"/>
              <w:right w:val="single" w:sz="4" w:space="0" w:color="000000"/>
            </w:tcBorders>
            <w:shd w:val="clear" w:color="auto" w:fill="auto"/>
            <w:vAlign w:val="center"/>
          </w:tcPr>
          <w:p w14:paraId="3FA50BD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0,09</w:t>
            </w:r>
          </w:p>
        </w:tc>
        <w:tc>
          <w:tcPr>
            <w:tcW w:w="992" w:type="dxa"/>
            <w:tcBorders>
              <w:top w:val="nil"/>
              <w:left w:val="nil"/>
              <w:bottom w:val="single" w:sz="8" w:space="0" w:color="000000"/>
              <w:right w:val="single" w:sz="4" w:space="0" w:color="000000"/>
            </w:tcBorders>
            <w:shd w:val="clear" w:color="auto" w:fill="auto"/>
            <w:vAlign w:val="center"/>
          </w:tcPr>
          <w:p w14:paraId="39C322D3"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1123" w:type="dxa"/>
            <w:tcBorders>
              <w:top w:val="nil"/>
              <w:left w:val="nil"/>
              <w:bottom w:val="single" w:sz="8" w:space="0" w:color="000000"/>
              <w:right w:val="single" w:sz="8" w:space="0" w:color="000000"/>
            </w:tcBorders>
            <w:shd w:val="clear" w:color="auto" w:fill="auto"/>
            <w:vAlign w:val="center"/>
          </w:tcPr>
          <w:p w14:paraId="0E1BC09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07474CDD" w14:textId="77777777">
        <w:trPr>
          <w:trHeight w:val="402"/>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258FBF0" w14:textId="77777777" w:rsidR="00572AD5" w:rsidRDefault="00000000">
            <w:pPr>
              <w:rPr>
                <w:rFonts w:ascii="Arial" w:eastAsia="Arial" w:hAnsi="Arial" w:cs="Arial"/>
                <w:b/>
                <w:color w:val="000000"/>
                <w:sz w:val="16"/>
                <w:szCs w:val="16"/>
              </w:rPr>
            </w:pPr>
            <w:r>
              <w:rPr>
                <w:rFonts w:ascii="Arial" w:eastAsia="Arial" w:hAnsi="Arial" w:cs="Arial"/>
                <w:b/>
                <w:color w:val="000000"/>
                <w:sz w:val="16"/>
                <w:szCs w:val="16"/>
              </w:rPr>
              <w:t>INDICADORES PROCESO OBRA 2023</w:t>
            </w:r>
          </w:p>
        </w:tc>
        <w:tc>
          <w:tcPr>
            <w:tcW w:w="851" w:type="dxa"/>
            <w:tcBorders>
              <w:top w:val="nil"/>
              <w:left w:val="single" w:sz="8" w:space="0" w:color="000000"/>
              <w:bottom w:val="single" w:sz="8" w:space="0" w:color="000000"/>
              <w:right w:val="single" w:sz="4" w:space="0" w:color="000000"/>
            </w:tcBorders>
            <w:shd w:val="clear" w:color="auto" w:fill="DDEBF7"/>
            <w:vAlign w:val="center"/>
          </w:tcPr>
          <w:p w14:paraId="2AC5E79A"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1,67</w:t>
            </w:r>
          </w:p>
        </w:tc>
        <w:tc>
          <w:tcPr>
            <w:tcW w:w="1134" w:type="dxa"/>
            <w:tcBorders>
              <w:top w:val="nil"/>
              <w:left w:val="nil"/>
              <w:bottom w:val="single" w:sz="8" w:space="0" w:color="000000"/>
              <w:right w:val="single" w:sz="4" w:space="0" w:color="000000"/>
            </w:tcBorders>
            <w:shd w:val="clear" w:color="auto" w:fill="DDEBF7"/>
            <w:vAlign w:val="center"/>
          </w:tcPr>
          <w:p w14:paraId="0552C862"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54%</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53DDFC0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4,16</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061A09F0"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0,08</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2FFBDF8E"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0,06</w:t>
            </w:r>
          </w:p>
        </w:tc>
        <w:tc>
          <w:tcPr>
            <w:tcW w:w="1123" w:type="dxa"/>
            <w:tcBorders>
              <w:top w:val="nil"/>
              <w:left w:val="nil"/>
              <w:bottom w:val="single" w:sz="8" w:space="0" w:color="000000"/>
              <w:right w:val="single" w:sz="4" w:space="0" w:color="000000"/>
            </w:tcBorders>
            <w:shd w:val="clear" w:color="auto" w:fill="DDEBF7"/>
            <w:vAlign w:val="center"/>
          </w:tcPr>
          <w:p w14:paraId="6CBC1A3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73%</w:t>
            </w:r>
          </w:p>
        </w:tc>
      </w:tr>
      <w:tr w:rsidR="00572AD5" w14:paraId="1EE5C3E9" w14:textId="77777777">
        <w:trPr>
          <w:trHeight w:val="402"/>
        </w:trPr>
        <w:tc>
          <w:tcPr>
            <w:tcW w:w="1062" w:type="dxa"/>
            <w:tcBorders>
              <w:top w:val="nil"/>
              <w:left w:val="nil"/>
              <w:bottom w:val="nil"/>
              <w:right w:val="nil"/>
            </w:tcBorders>
            <w:shd w:val="clear" w:color="auto" w:fill="auto"/>
            <w:vAlign w:val="bottom"/>
          </w:tcPr>
          <w:p w14:paraId="555C5E79" w14:textId="77777777" w:rsidR="00572AD5" w:rsidRDefault="00572AD5">
            <w:pPr>
              <w:jc w:val="center"/>
              <w:rPr>
                <w:rFonts w:ascii="Arial" w:eastAsia="Arial" w:hAnsi="Arial" w:cs="Arial"/>
                <w:b/>
                <w:color w:val="000000"/>
                <w:sz w:val="16"/>
                <w:szCs w:val="16"/>
              </w:rPr>
            </w:pPr>
          </w:p>
        </w:tc>
        <w:tc>
          <w:tcPr>
            <w:tcW w:w="1056" w:type="dxa"/>
            <w:tcBorders>
              <w:top w:val="nil"/>
              <w:left w:val="nil"/>
              <w:bottom w:val="nil"/>
              <w:right w:val="nil"/>
            </w:tcBorders>
            <w:shd w:val="clear" w:color="auto" w:fill="auto"/>
            <w:vAlign w:val="bottom"/>
          </w:tcPr>
          <w:p w14:paraId="53A13DE5" w14:textId="77777777" w:rsidR="00572AD5" w:rsidRDefault="00572AD5">
            <w:pPr>
              <w:rPr>
                <w:rFonts w:ascii="Arial" w:eastAsia="Arial" w:hAnsi="Arial" w:cs="Arial"/>
                <w:sz w:val="16"/>
                <w:szCs w:val="16"/>
              </w:rPr>
            </w:pPr>
          </w:p>
        </w:tc>
        <w:tc>
          <w:tcPr>
            <w:tcW w:w="287" w:type="dxa"/>
            <w:tcBorders>
              <w:top w:val="nil"/>
              <w:left w:val="nil"/>
              <w:bottom w:val="nil"/>
              <w:right w:val="nil"/>
            </w:tcBorders>
            <w:shd w:val="clear" w:color="auto" w:fill="auto"/>
            <w:vAlign w:val="bottom"/>
          </w:tcPr>
          <w:p w14:paraId="6BD05048" w14:textId="77777777" w:rsidR="00572AD5" w:rsidRDefault="00572AD5">
            <w:pPr>
              <w:rPr>
                <w:rFonts w:ascii="Arial" w:eastAsia="Arial" w:hAnsi="Arial" w:cs="Arial"/>
                <w:sz w:val="16"/>
                <w:szCs w:val="16"/>
              </w:rPr>
            </w:pPr>
          </w:p>
        </w:tc>
        <w:tc>
          <w:tcPr>
            <w:tcW w:w="851" w:type="dxa"/>
            <w:tcBorders>
              <w:top w:val="nil"/>
              <w:left w:val="nil"/>
              <w:bottom w:val="nil"/>
              <w:right w:val="nil"/>
            </w:tcBorders>
            <w:shd w:val="clear" w:color="auto" w:fill="auto"/>
            <w:vAlign w:val="center"/>
          </w:tcPr>
          <w:p w14:paraId="31A4CF0C"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1134" w:type="dxa"/>
            <w:tcBorders>
              <w:top w:val="nil"/>
              <w:left w:val="nil"/>
              <w:bottom w:val="nil"/>
              <w:right w:val="nil"/>
            </w:tcBorders>
            <w:shd w:val="clear" w:color="auto" w:fill="auto"/>
            <w:vAlign w:val="center"/>
          </w:tcPr>
          <w:p w14:paraId="1AA7C0A0"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3095759F"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70CE10C7"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2C668F17"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1123" w:type="dxa"/>
            <w:tcBorders>
              <w:top w:val="nil"/>
              <w:left w:val="nil"/>
              <w:bottom w:val="nil"/>
              <w:right w:val="nil"/>
            </w:tcBorders>
            <w:shd w:val="clear" w:color="auto" w:fill="auto"/>
            <w:vAlign w:val="center"/>
          </w:tcPr>
          <w:p w14:paraId="758C354D"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r>
    </w:tbl>
    <w:p w14:paraId="6F997BB6"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 xml:space="preserve">Respecto al Indicador del </w:t>
      </w:r>
      <w:r>
        <w:rPr>
          <w:rFonts w:ascii="Arial" w:eastAsia="Arial" w:hAnsi="Arial" w:cs="Arial"/>
          <w:b/>
          <w:sz w:val="22"/>
          <w:szCs w:val="22"/>
        </w:rPr>
        <w:t>Capital de Trabajo</w:t>
      </w:r>
      <w:r>
        <w:rPr>
          <w:rFonts w:ascii="Arial" w:eastAsia="Arial" w:hAnsi="Arial" w:cs="Arial"/>
          <w:sz w:val="22"/>
          <w:szCs w:val="22"/>
        </w:rPr>
        <w:t xml:space="preserve">, teniendo en cuenta que este indicador representa la liquidez operativa del proponente, es decir el remanente del proponente luego de liquidar sus activos corrientes (convertirlos en efectivo) y pagar el pasivo de corto plazo, contribuyendo con el desarrollo eficiente de la actividad económica del proponente y a fin de garantizar la correcta y eficiente ejecución del contrato, la Entidad consideró pertinente establecer a partir del resultado arrojado en los análisis descritos anteriormente, un indicador del </w:t>
      </w:r>
      <w:r>
        <w:rPr>
          <w:rFonts w:ascii="Arial" w:eastAsia="Arial" w:hAnsi="Arial" w:cs="Arial"/>
          <w:b/>
          <w:sz w:val="22"/>
          <w:szCs w:val="22"/>
        </w:rPr>
        <w:t>ochenta por ciento (80%) del presupuesto</w:t>
      </w:r>
      <w:r>
        <w:rPr>
          <w:rFonts w:ascii="Arial" w:eastAsia="Arial" w:hAnsi="Arial" w:cs="Arial"/>
          <w:sz w:val="22"/>
          <w:szCs w:val="22"/>
        </w:rPr>
        <w:t xml:space="preserve"> establecido para el presente proceso, situación que será indicada en el resumen de Indicadores Financieros.</w:t>
      </w:r>
    </w:p>
    <w:p w14:paraId="6E2BEC8D" w14:textId="77777777" w:rsidR="00572AD5" w:rsidRDefault="00572AD5">
      <w:pPr>
        <w:tabs>
          <w:tab w:val="left" w:pos="0"/>
          <w:tab w:val="left" w:pos="284"/>
        </w:tabs>
        <w:jc w:val="both"/>
        <w:rPr>
          <w:rFonts w:ascii="Arial" w:eastAsia="Arial" w:hAnsi="Arial" w:cs="Arial"/>
          <w:sz w:val="22"/>
          <w:szCs w:val="22"/>
        </w:rPr>
      </w:pPr>
    </w:p>
    <w:p w14:paraId="261ECBBE"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 xml:space="preserve">En este orden de ideas, tomando como referente los indicadores de capacidad financiera y organizacional establecidos en el marco de los documentos tipo de procesos de infraestructura social, elaborados por Colombia Compra Eficiente y los respectivos análisis descritos anteriormente, el SENA - Centro Agropecuario la Granja, define los siguientes indicadores como requisito para el proceso de Selección Abreviada de </w:t>
      </w:r>
      <w:proofErr w:type="gramStart"/>
      <w:r>
        <w:rPr>
          <w:rFonts w:ascii="Arial" w:eastAsia="Arial" w:hAnsi="Arial" w:cs="Arial"/>
          <w:sz w:val="22"/>
          <w:szCs w:val="22"/>
        </w:rPr>
        <w:t>Menor  de</w:t>
      </w:r>
      <w:proofErr w:type="gramEnd"/>
      <w:r>
        <w:rPr>
          <w:rFonts w:ascii="Arial" w:eastAsia="Arial" w:hAnsi="Arial" w:cs="Arial"/>
          <w:sz w:val="22"/>
          <w:szCs w:val="22"/>
        </w:rPr>
        <w:t xml:space="preserve"> la referencia:</w:t>
      </w:r>
    </w:p>
    <w:p w14:paraId="067B0EDF" w14:textId="77777777" w:rsidR="00572AD5" w:rsidRDefault="00572AD5">
      <w:pPr>
        <w:pBdr>
          <w:top w:val="nil"/>
          <w:left w:val="nil"/>
          <w:bottom w:val="nil"/>
          <w:right w:val="nil"/>
          <w:between w:val="nil"/>
        </w:pBdr>
        <w:spacing w:after="120"/>
        <w:ind w:left="112"/>
        <w:rPr>
          <w:rFonts w:ascii="Arial" w:eastAsia="Arial" w:hAnsi="Arial" w:cs="Arial"/>
          <w:color w:val="000000"/>
        </w:rPr>
      </w:pPr>
    </w:p>
    <w:tbl>
      <w:tblPr>
        <w:tblStyle w:val="af7"/>
        <w:tblW w:w="6820" w:type="dxa"/>
        <w:jc w:val="center"/>
        <w:tblInd w:w="0" w:type="dxa"/>
        <w:tblLayout w:type="fixed"/>
        <w:tblLook w:val="0400" w:firstRow="0" w:lastRow="0" w:firstColumn="0" w:lastColumn="0" w:noHBand="0" w:noVBand="1"/>
      </w:tblPr>
      <w:tblGrid>
        <w:gridCol w:w="2620"/>
        <w:gridCol w:w="2478"/>
        <w:gridCol w:w="1722"/>
      </w:tblGrid>
      <w:tr w:rsidR="00572AD5" w14:paraId="47FC285D" w14:textId="77777777">
        <w:trPr>
          <w:trHeight w:val="499"/>
          <w:jc w:val="center"/>
        </w:trPr>
        <w:tc>
          <w:tcPr>
            <w:tcW w:w="262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39F6222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Indicador</w:t>
            </w:r>
          </w:p>
        </w:tc>
        <w:tc>
          <w:tcPr>
            <w:tcW w:w="2478" w:type="dxa"/>
            <w:tcBorders>
              <w:top w:val="single" w:sz="4" w:space="0" w:color="000000"/>
              <w:left w:val="nil"/>
              <w:bottom w:val="single" w:sz="4" w:space="0" w:color="000000"/>
              <w:right w:val="single" w:sz="4" w:space="0" w:color="000000"/>
            </w:tcBorders>
            <w:shd w:val="clear" w:color="auto" w:fill="DDEBF7"/>
            <w:vAlign w:val="center"/>
          </w:tcPr>
          <w:p w14:paraId="328830C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Medida Limite</w:t>
            </w:r>
          </w:p>
        </w:tc>
        <w:tc>
          <w:tcPr>
            <w:tcW w:w="1722" w:type="dxa"/>
            <w:tcBorders>
              <w:top w:val="single" w:sz="4" w:space="0" w:color="000000"/>
              <w:left w:val="nil"/>
              <w:bottom w:val="single" w:sz="4" w:space="0" w:color="000000"/>
              <w:right w:val="single" w:sz="4" w:space="0" w:color="000000"/>
            </w:tcBorders>
            <w:shd w:val="clear" w:color="auto" w:fill="DDEBF7"/>
            <w:vAlign w:val="center"/>
          </w:tcPr>
          <w:p w14:paraId="2DC3B4C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Valor</w:t>
            </w:r>
          </w:p>
        </w:tc>
      </w:tr>
      <w:tr w:rsidR="00572AD5" w14:paraId="02D49081"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FA5565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Índice de liquidez</w:t>
            </w:r>
          </w:p>
        </w:tc>
        <w:tc>
          <w:tcPr>
            <w:tcW w:w="2478" w:type="dxa"/>
            <w:tcBorders>
              <w:top w:val="nil"/>
              <w:left w:val="nil"/>
              <w:bottom w:val="single" w:sz="4" w:space="0" w:color="000000"/>
              <w:right w:val="single" w:sz="4" w:space="0" w:color="000000"/>
            </w:tcBorders>
            <w:shd w:val="clear" w:color="auto" w:fill="auto"/>
            <w:vAlign w:val="center"/>
          </w:tcPr>
          <w:p w14:paraId="74EE50A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7598D29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1,67</w:t>
            </w:r>
          </w:p>
        </w:tc>
      </w:tr>
      <w:tr w:rsidR="00572AD5" w14:paraId="364A9630"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FB852A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Índice de endeudamiento</w:t>
            </w:r>
          </w:p>
        </w:tc>
        <w:tc>
          <w:tcPr>
            <w:tcW w:w="2478" w:type="dxa"/>
            <w:tcBorders>
              <w:top w:val="nil"/>
              <w:left w:val="nil"/>
              <w:bottom w:val="single" w:sz="4" w:space="0" w:color="000000"/>
              <w:right w:val="single" w:sz="4" w:space="0" w:color="000000"/>
            </w:tcBorders>
            <w:shd w:val="clear" w:color="auto" w:fill="auto"/>
            <w:vAlign w:val="center"/>
          </w:tcPr>
          <w:p w14:paraId="4D475D1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menor o Igual</w:t>
            </w:r>
          </w:p>
        </w:tc>
        <w:tc>
          <w:tcPr>
            <w:tcW w:w="1722" w:type="dxa"/>
            <w:tcBorders>
              <w:top w:val="nil"/>
              <w:left w:val="nil"/>
              <w:bottom w:val="single" w:sz="4" w:space="0" w:color="000000"/>
              <w:right w:val="single" w:sz="4" w:space="0" w:color="000000"/>
            </w:tcBorders>
            <w:shd w:val="clear" w:color="auto" w:fill="auto"/>
            <w:vAlign w:val="center"/>
          </w:tcPr>
          <w:p w14:paraId="45CBCB7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54%</w:t>
            </w:r>
          </w:p>
        </w:tc>
      </w:tr>
      <w:tr w:rsidR="00572AD5" w14:paraId="4BCD2BAA"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66707B1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Razón de cobertura de intereses</w:t>
            </w:r>
          </w:p>
        </w:tc>
        <w:tc>
          <w:tcPr>
            <w:tcW w:w="2478" w:type="dxa"/>
            <w:tcBorders>
              <w:top w:val="nil"/>
              <w:left w:val="nil"/>
              <w:bottom w:val="single" w:sz="4" w:space="0" w:color="000000"/>
              <w:right w:val="single" w:sz="4" w:space="0" w:color="000000"/>
            </w:tcBorders>
            <w:shd w:val="clear" w:color="auto" w:fill="auto"/>
            <w:vAlign w:val="center"/>
          </w:tcPr>
          <w:p w14:paraId="042FF2E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3E86934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4,16</w:t>
            </w:r>
          </w:p>
        </w:tc>
      </w:tr>
      <w:tr w:rsidR="00572AD5" w14:paraId="1375AEC4"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1910F1E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Rentabilidad del patrimonio</w:t>
            </w:r>
          </w:p>
        </w:tc>
        <w:tc>
          <w:tcPr>
            <w:tcW w:w="2478" w:type="dxa"/>
            <w:tcBorders>
              <w:top w:val="nil"/>
              <w:left w:val="nil"/>
              <w:bottom w:val="single" w:sz="4" w:space="0" w:color="000000"/>
              <w:right w:val="single" w:sz="4" w:space="0" w:color="000000"/>
            </w:tcBorders>
            <w:shd w:val="clear" w:color="auto" w:fill="auto"/>
            <w:vAlign w:val="center"/>
          </w:tcPr>
          <w:p w14:paraId="3A1DCA6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23EB42F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0,08</w:t>
            </w:r>
          </w:p>
        </w:tc>
      </w:tr>
      <w:tr w:rsidR="00572AD5" w14:paraId="4D2436A6"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4BE5A4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Rentabilidad del activo</w:t>
            </w:r>
          </w:p>
        </w:tc>
        <w:tc>
          <w:tcPr>
            <w:tcW w:w="2478" w:type="dxa"/>
            <w:tcBorders>
              <w:top w:val="nil"/>
              <w:left w:val="nil"/>
              <w:bottom w:val="single" w:sz="4" w:space="0" w:color="000000"/>
              <w:right w:val="single" w:sz="4" w:space="0" w:color="000000"/>
            </w:tcBorders>
            <w:shd w:val="clear" w:color="auto" w:fill="auto"/>
            <w:vAlign w:val="center"/>
          </w:tcPr>
          <w:p w14:paraId="359A8E7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055947C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0,06</w:t>
            </w:r>
          </w:p>
        </w:tc>
      </w:tr>
      <w:tr w:rsidR="00572AD5" w14:paraId="325D9E1C" w14:textId="77777777">
        <w:trPr>
          <w:trHeight w:val="600"/>
          <w:jc w:val="center"/>
        </w:trPr>
        <w:tc>
          <w:tcPr>
            <w:tcW w:w="2620" w:type="dxa"/>
            <w:tcBorders>
              <w:top w:val="nil"/>
              <w:left w:val="single" w:sz="4" w:space="0" w:color="000000"/>
              <w:bottom w:val="nil"/>
              <w:right w:val="single" w:sz="4" w:space="0" w:color="000000"/>
            </w:tcBorders>
            <w:shd w:val="clear" w:color="auto" w:fill="auto"/>
            <w:vAlign w:val="center"/>
          </w:tcPr>
          <w:p w14:paraId="01515A7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Capital de Trabajo</w:t>
            </w:r>
          </w:p>
        </w:tc>
        <w:tc>
          <w:tcPr>
            <w:tcW w:w="2478" w:type="dxa"/>
            <w:tcBorders>
              <w:top w:val="nil"/>
              <w:left w:val="nil"/>
              <w:bottom w:val="nil"/>
              <w:right w:val="single" w:sz="4" w:space="0" w:color="000000"/>
            </w:tcBorders>
            <w:shd w:val="clear" w:color="auto" w:fill="auto"/>
            <w:vAlign w:val="center"/>
          </w:tcPr>
          <w:p w14:paraId="2908711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 al presupuesto del proceso</w:t>
            </w:r>
          </w:p>
        </w:tc>
        <w:tc>
          <w:tcPr>
            <w:tcW w:w="1722" w:type="dxa"/>
            <w:tcBorders>
              <w:top w:val="nil"/>
              <w:left w:val="nil"/>
              <w:bottom w:val="nil"/>
              <w:right w:val="single" w:sz="4" w:space="0" w:color="000000"/>
            </w:tcBorders>
            <w:shd w:val="clear" w:color="auto" w:fill="auto"/>
            <w:vAlign w:val="center"/>
          </w:tcPr>
          <w:p w14:paraId="43E7E58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80%</w:t>
            </w:r>
          </w:p>
        </w:tc>
      </w:tr>
      <w:tr w:rsidR="00572AD5" w14:paraId="614D0F4C"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4C877887" w14:textId="77777777" w:rsidR="00572AD5" w:rsidRDefault="00572AD5">
            <w:pPr>
              <w:rPr>
                <w:rFonts w:ascii="Arial" w:eastAsia="Arial" w:hAnsi="Arial" w:cs="Arial"/>
                <w:color w:val="000000"/>
                <w:sz w:val="20"/>
                <w:szCs w:val="20"/>
              </w:rPr>
            </w:pPr>
          </w:p>
        </w:tc>
        <w:tc>
          <w:tcPr>
            <w:tcW w:w="2478" w:type="dxa"/>
            <w:tcBorders>
              <w:top w:val="nil"/>
              <w:left w:val="nil"/>
              <w:bottom w:val="single" w:sz="4" w:space="0" w:color="000000"/>
              <w:right w:val="single" w:sz="4" w:space="0" w:color="000000"/>
            </w:tcBorders>
            <w:shd w:val="clear" w:color="auto" w:fill="auto"/>
            <w:vAlign w:val="center"/>
          </w:tcPr>
          <w:p w14:paraId="0427C384" w14:textId="77777777" w:rsidR="00572AD5" w:rsidRDefault="00572AD5">
            <w:pPr>
              <w:jc w:val="center"/>
              <w:rPr>
                <w:rFonts w:ascii="Arial" w:eastAsia="Arial" w:hAnsi="Arial" w:cs="Arial"/>
                <w:color w:val="000000"/>
                <w:sz w:val="20"/>
                <w:szCs w:val="20"/>
              </w:rPr>
            </w:pPr>
          </w:p>
        </w:tc>
        <w:tc>
          <w:tcPr>
            <w:tcW w:w="1722" w:type="dxa"/>
            <w:tcBorders>
              <w:top w:val="nil"/>
              <w:left w:val="nil"/>
              <w:bottom w:val="single" w:sz="4" w:space="0" w:color="000000"/>
              <w:right w:val="single" w:sz="4" w:space="0" w:color="000000"/>
            </w:tcBorders>
            <w:shd w:val="clear" w:color="auto" w:fill="auto"/>
            <w:vAlign w:val="center"/>
          </w:tcPr>
          <w:p w14:paraId="048444B9" w14:textId="77777777" w:rsidR="00572AD5" w:rsidRDefault="00572AD5">
            <w:pPr>
              <w:jc w:val="center"/>
              <w:rPr>
                <w:rFonts w:ascii="Arial" w:eastAsia="Arial" w:hAnsi="Arial" w:cs="Arial"/>
                <w:b/>
                <w:color w:val="000000"/>
                <w:sz w:val="20"/>
                <w:szCs w:val="20"/>
              </w:rPr>
            </w:pPr>
          </w:p>
        </w:tc>
      </w:tr>
    </w:tbl>
    <w:p w14:paraId="6450C93F" w14:textId="77777777" w:rsidR="00572AD5" w:rsidRDefault="00572AD5">
      <w:pPr>
        <w:pBdr>
          <w:top w:val="nil"/>
          <w:left w:val="nil"/>
          <w:bottom w:val="nil"/>
          <w:right w:val="nil"/>
          <w:between w:val="nil"/>
        </w:pBdr>
        <w:tabs>
          <w:tab w:val="left" w:pos="0"/>
          <w:tab w:val="left" w:pos="284"/>
        </w:tabs>
        <w:ind w:left="360"/>
        <w:jc w:val="both"/>
        <w:rPr>
          <w:rFonts w:ascii="Arial" w:eastAsia="Arial" w:hAnsi="Arial" w:cs="Arial"/>
          <w:b/>
          <w:color w:val="000000"/>
          <w:sz w:val="22"/>
          <w:szCs w:val="22"/>
        </w:rPr>
      </w:pPr>
    </w:p>
    <w:p w14:paraId="0A4572A5" w14:textId="77777777" w:rsidR="00572AD5" w:rsidRDefault="00572AD5">
      <w:pPr>
        <w:pBdr>
          <w:top w:val="nil"/>
          <w:left w:val="nil"/>
          <w:bottom w:val="nil"/>
          <w:right w:val="nil"/>
          <w:between w:val="nil"/>
        </w:pBdr>
        <w:tabs>
          <w:tab w:val="left" w:pos="0"/>
          <w:tab w:val="left" w:pos="284"/>
        </w:tabs>
        <w:ind w:left="360"/>
        <w:jc w:val="both"/>
        <w:rPr>
          <w:rFonts w:ascii="Arial" w:eastAsia="Arial" w:hAnsi="Arial" w:cs="Arial"/>
          <w:b/>
          <w:color w:val="000000"/>
          <w:sz w:val="22"/>
          <w:szCs w:val="22"/>
        </w:rPr>
      </w:pPr>
    </w:p>
    <w:p w14:paraId="254BE7FA" w14:textId="77777777" w:rsidR="00572AD5" w:rsidRDefault="00000000" w:rsidP="002C6D1E">
      <w:pPr>
        <w:numPr>
          <w:ilvl w:val="0"/>
          <w:numId w:val="27"/>
        </w:numPr>
        <w:pBdr>
          <w:top w:val="nil"/>
          <w:left w:val="nil"/>
          <w:bottom w:val="nil"/>
          <w:right w:val="nil"/>
          <w:between w:val="nil"/>
        </w:pBdr>
        <w:tabs>
          <w:tab w:val="left" w:pos="0"/>
          <w:tab w:val="left" w:pos="284"/>
        </w:tabs>
        <w:jc w:val="both"/>
        <w:rPr>
          <w:rFonts w:ascii="Arial" w:eastAsia="Arial" w:hAnsi="Arial" w:cs="Arial"/>
          <w:b/>
          <w:color w:val="000000"/>
          <w:sz w:val="22"/>
          <w:szCs w:val="22"/>
        </w:rPr>
      </w:pPr>
      <w:r>
        <w:rPr>
          <w:rFonts w:ascii="Arial" w:eastAsia="Arial" w:hAnsi="Arial" w:cs="Arial"/>
          <w:b/>
          <w:color w:val="000000"/>
          <w:sz w:val="22"/>
          <w:szCs w:val="22"/>
        </w:rPr>
        <w:t>ANALISIS DEL SECTOR PARA DETERMINAR LOS CRITERIOS DIFERENCIALES PARA MIPYME Y EMPRENDIMIENTOS Y EMPRESAS DE MUJERES</w:t>
      </w:r>
    </w:p>
    <w:p w14:paraId="6C0F38F6" w14:textId="77777777" w:rsidR="00572AD5" w:rsidRDefault="00572AD5">
      <w:pPr>
        <w:tabs>
          <w:tab w:val="left" w:pos="0"/>
          <w:tab w:val="left" w:pos="284"/>
        </w:tabs>
        <w:jc w:val="both"/>
        <w:rPr>
          <w:rFonts w:ascii="Arial" w:eastAsia="Arial" w:hAnsi="Arial" w:cs="Arial"/>
          <w:b/>
          <w:sz w:val="22"/>
          <w:szCs w:val="22"/>
        </w:rPr>
      </w:pPr>
    </w:p>
    <w:p w14:paraId="1F0918B9"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El artículo 31 de la Ley 2069 de 2020 establece el deber de las Entidades Estatales, de incluir en los Documentos del Proceso, de acuerdo con el análisis de sector, requisitos diferenciales y puntajes adicionales, en función del tamaño empresarial para la promoción del acceso de las Mipyme al mercado de Compras Públicas. De manera análoga, el artículo 32 ibidem señala que, de acuerdo con el resultado del análisis del sector, las Entidades incluirán requisitos diferenciales y puntajes adicionales en los procesos de licitación pública, selección abreviada de menor  y concurso de méritos, así como en los procesos competitivos que adelanten las entidades estatales que no apliquen en su gestión contractual el Estatuto General de Contratación Administrativa, como medidas de acción afirmativa, para incentivar los emprendimientos y empresas de mujeres en el sistema de compras públicas, sin perjuicio de los compromisos adquiridos por Colombia en los acuerdos comerciales en vigor.</w:t>
      </w:r>
    </w:p>
    <w:p w14:paraId="3B0645A7" w14:textId="77777777" w:rsidR="00572AD5" w:rsidRDefault="00572AD5">
      <w:pPr>
        <w:tabs>
          <w:tab w:val="left" w:pos="0"/>
          <w:tab w:val="left" w:pos="284"/>
        </w:tabs>
        <w:jc w:val="both"/>
        <w:rPr>
          <w:rFonts w:ascii="Arial" w:eastAsia="Arial" w:hAnsi="Arial" w:cs="Arial"/>
          <w:sz w:val="22"/>
          <w:szCs w:val="22"/>
        </w:rPr>
      </w:pPr>
    </w:p>
    <w:p w14:paraId="7AAAE657"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De conformidad con el artículo 2.2.1.2.4.2.15 del Decreto 1082 del 2015, las Entidades incluirán estos requisitos diferenciales y puntajes adicionales para emprendimientos y empresas de mujeres con domicilio en el territorio nacional de acuerdo con los resultados del análisis del sector, desde la perspectiva del estudio de la oferta de las obras, bienes o servicios que requiere. Igualmente, el articulo 2.2.1.2.4.2.18. del Decreto 1082 de 2015 establece el deber de incluir condiciones habilitantes diferenciales y el puntaje adicional para Mipyme domiciliadas en Colombia de acuerdo con los resultados del análisis del sector.</w:t>
      </w:r>
    </w:p>
    <w:p w14:paraId="09538D2C" w14:textId="77777777" w:rsidR="00572AD5" w:rsidRDefault="00572AD5">
      <w:pPr>
        <w:tabs>
          <w:tab w:val="left" w:pos="0"/>
          <w:tab w:val="left" w:pos="284"/>
        </w:tabs>
        <w:jc w:val="both"/>
        <w:rPr>
          <w:rFonts w:ascii="Arial" w:eastAsia="Arial" w:hAnsi="Arial" w:cs="Arial"/>
          <w:sz w:val="22"/>
          <w:szCs w:val="22"/>
        </w:rPr>
      </w:pPr>
    </w:p>
    <w:p w14:paraId="655B844F"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Es por esto por lo que a continuación se presenta la información insumo para la identificación de la existencia de posibles proveedores que sean MiPymes, emprendimientos y empresas de mujeres en el mercado relativo al objeto del proceso de contratación que se adelanta, que determine la inclusión de los criterios diferenciales y puntajes adicionales de que trata el decreto 1860 de 2021:</w:t>
      </w:r>
    </w:p>
    <w:p w14:paraId="02EFB4CD" w14:textId="77777777" w:rsidR="00572AD5" w:rsidRDefault="00572AD5">
      <w:pPr>
        <w:tabs>
          <w:tab w:val="left" w:pos="0"/>
          <w:tab w:val="left" w:pos="284"/>
        </w:tabs>
        <w:jc w:val="both"/>
        <w:rPr>
          <w:rFonts w:ascii="Arial" w:eastAsia="Arial" w:hAnsi="Arial" w:cs="Arial"/>
          <w:sz w:val="22"/>
          <w:szCs w:val="22"/>
        </w:rPr>
      </w:pPr>
    </w:p>
    <w:p w14:paraId="40F7D7BE" w14:textId="77777777" w:rsidR="00572AD5" w:rsidRDefault="00000000" w:rsidP="002C6D1E">
      <w:pPr>
        <w:widowControl w:val="0"/>
        <w:numPr>
          <w:ilvl w:val="0"/>
          <w:numId w:val="27"/>
        </w:num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TECNICAS DE ANÁLISIS DE LA INFORMACIÓN</w:t>
      </w:r>
    </w:p>
    <w:p w14:paraId="7F1C6180" w14:textId="77777777" w:rsidR="00572AD5" w:rsidRDefault="00572AD5">
      <w:pPr>
        <w:widowControl w:val="0"/>
        <w:pBdr>
          <w:top w:val="nil"/>
          <w:left w:val="nil"/>
          <w:bottom w:val="nil"/>
          <w:right w:val="nil"/>
          <w:between w:val="nil"/>
        </w:pBdr>
        <w:ind w:left="360"/>
        <w:rPr>
          <w:rFonts w:ascii="Arial" w:eastAsia="Arial" w:hAnsi="Arial" w:cs="Arial"/>
          <w:b/>
          <w:color w:val="000000"/>
          <w:sz w:val="22"/>
          <w:szCs w:val="22"/>
        </w:rPr>
      </w:pPr>
    </w:p>
    <w:p w14:paraId="7ED5554C" w14:textId="77777777" w:rsidR="00572AD5" w:rsidRDefault="00000000">
      <w:pPr>
        <w:jc w:val="both"/>
        <w:rPr>
          <w:rFonts w:ascii="Arial" w:eastAsia="Arial" w:hAnsi="Arial" w:cs="Arial"/>
          <w:sz w:val="22"/>
          <w:szCs w:val="22"/>
        </w:rPr>
      </w:pPr>
      <w:r>
        <w:rPr>
          <w:rFonts w:ascii="Arial" w:eastAsia="Arial" w:hAnsi="Arial" w:cs="Arial"/>
          <w:sz w:val="22"/>
          <w:szCs w:val="22"/>
        </w:rPr>
        <w:t>La información contenida en el presente proceso corresponde a las consultas realizadas a las diferentes entidades que manejan contextos económicos técnicos y regulatorios claros aplicables a los procesos de contratación, basados en los planes de necesidades planteados por las unidades ejecutoras. El estudio del sector se realizó teniendo en cuenta los parámetros establecidos para ello por las guías emitidas por Colombia Compra Eficiente.</w:t>
      </w:r>
    </w:p>
    <w:p w14:paraId="593630BB" w14:textId="77777777" w:rsidR="00572AD5" w:rsidRDefault="00572AD5">
      <w:pPr>
        <w:rPr>
          <w:rFonts w:ascii="Arial" w:eastAsia="Arial" w:hAnsi="Arial" w:cs="Arial"/>
          <w:sz w:val="22"/>
          <w:szCs w:val="22"/>
        </w:rPr>
      </w:pPr>
    </w:p>
    <w:p w14:paraId="0EF853F9" w14:textId="77777777" w:rsidR="00572AD5" w:rsidRDefault="00572AD5">
      <w:pPr>
        <w:rPr>
          <w:rFonts w:ascii="Arial" w:eastAsia="Arial" w:hAnsi="Arial" w:cs="Arial"/>
          <w:sz w:val="22"/>
          <w:szCs w:val="22"/>
        </w:rPr>
      </w:pPr>
    </w:p>
    <w:p w14:paraId="67BA295B" w14:textId="77777777" w:rsidR="00572AD5" w:rsidRDefault="00000000" w:rsidP="002C6D1E">
      <w:pPr>
        <w:numPr>
          <w:ilvl w:val="0"/>
          <w:numId w:val="27"/>
        </w:num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LISTA DE FUENTES DE INFORMACIÓN</w:t>
      </w:r>
    </w:p>
    <w:p w14:paraId="6BD18736" w14:textId="77777777" w:rsidR="00572AD5" w:rsidRDefault="00572AD5">
      <w:pPr>
        <w:ind w:left="403"/>
        <w:rPr>
          <w:rFonts w:ascii="Arial" w:eastAsia="Arial" w:hAnsi="Arial" w:cs="Arial"/>
          <w:sz w:val="22"/>
          <w:szCs w:val="22"/>
        </w:rPr>
      </w:pPr>
    </w:p>
    <w:p w14:paraId="603D05D2"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DANE: www.dane.gov.co</w:t>
      </w:r>
    </w:p>
    <w:p w14:paraId="20153603"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ANIF: www.anif.gov.co</w:t>
      </w:r>
    </w:p>
    <w:p w14:paraId="68C5DA11"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ANDI (Encuesta de opinión industrial): www.andi.gov.co</w:t>
      </w:r>
    </w:p>
    <w:p w14:paraId="094BBB3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Banco de La República: www.banrep.gov.co</w:t>
      </w:r>
    </w:p>
    <w:p w14:paraId="395AA658"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Cámaras de Comercio –</w:t>
      </w:r>
    </w:p>
    <w:p w14:paraId="65AC44A0"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Superintendencia de Industria y Comercio: www.sic.gov.co</w:t>
      </w:r>
    </w:p>
    <w:p w14:paraId="1CD192FB" w14:textId="77777777" w:rsidR="00572AD5" w:rsidRDefault="00000000">
      <w:pPr>
        <w:ind w:left="403"/>
        <w:rPr>
          <w:rFonts w:ascii="Arial" w:eastAsia="Arial" w:hAnsi="Arial" w:cs="Arial"/>
          <w:sz w:val="22"/>
          <w:szCs w:val="22"/>
        </w:rPr>
      </w:pPr>
      <w:r>
        <w:rPr>
          <w:rFonts w:ascii="Arial" w:eastAsia="Arial" w:hAnsi="Arial" w:cs="Arial"/>
          <w:sz w:val="22"/>
          <w:szCs w:val="22"/>
        </w:rPr>
        <w:lastRenderedPageBreak/>
        <w:t>•</w:t>
      </w:r>
      <w:r>
        <w:rPr>
          <w:rFonts w:ascii="Arial" w:eastAsia="Arial" w:hAnsi="Arial" w:cs="Arial"/>
          <w:sz w:val="22"/>
          <w:szCs w:val="22"/>
        </w:rPr>
        <w:tab/>
        <w:t>Fedesarrollo: www.fedesarrollo.org.co</w:t>
      </w:r>
    </w:p>
    <w:p w14:paraId="2F006D65"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Confecámaras: www.confecamaras.org.co</w:t>
      </w:r>
    </w:p>
    <w:p w14:paraId="3E7176B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Departamento Nacional de Planeación –DNP–: www.dnp.gov.co</w:t>
      </w:r>
    </w:p>
    <w:p w14:paraId="21E4E93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Asobancaria (economía y finanzas): www.asobancaria.com</w:t>
      </w:r>
    </w:p>
    <w:p w14:paraId="65D45B97"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Ministerio de Industria y Comercio</w:t>
      </w:r>
    </w:p>
    <w:p w14:paraId="1ECAA3E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Secop II, www.colombiacompra.gov.co/compradores/beneficios-del-secop-ii-para-compradores/content/secop-ii-2</w:t>
      </w:r>
    </w:p>
    <w:p w14:paraId="5EFF5612" w14:textId="77777777" w:rsidR="00572AD5" w:rsidRDefault="00572AD5">
      <w:pPr>
        <w:tabs>
          <w:tab w:val="left" w:pos="0"/>
          <w:tab w:val="left" w:pos="284"/>
        </w:tabs>
        <w:jc w:val="both"/>
        <w:rPr>
          <w:rFonts w:ascii="Arial" w:eastAsia="Arial" w:hAnsi="Arial" w:cs="Arial"/>
          <w:b/>
          <w:sz w:val="22"/>
          <w:szCs w:val="22"/>
        </w:rPr>
      </w:pPr>
    </w:p>
    <w:p w14:paraId="0495D95E" w14:textId="77777777" w:rsidR="00572AD5" w:rsidRDefault="00572AD5">
      <w:pPr>
        <w:pBdr>
          <w:top w:val="nil"/>
          <w:left w:val="nil"/>
          <w:bottom w:val="nil"/>
          <w:right w:val="nil"/>
          <w:between w:val="nil"/>
        </w:pBdr>
        <w:jc w:val="both"/>
        <w:rPr>
          <w:rFonts w:ascii="Arial" w:eastAsia="Arial" w:hAnsi="Arial" w:cs="Arial"/>
          <w:color w:val="000000"/>
          <w:sz w:val="22"/>
          <w:szCs w:val="22"/>
          <w:highlight w:val="yellow"/>
        </w:rPr>
      </w:pPr>
    </w:p>
    <w:p w14:paraId="03C0A30D" w14:textId="77777777" w:rsidR="00572AD5" w:rsidRDefault="00000000" w:rsidP="002C6D1E">
      <w:pPr>
        <w:numPr>
          <w:ilvl w:val="0"/>
          <w:numId w:val="27"/>
        </w:numPr>
        <w:pBdr>
          <w:top w:val="nil"/>
          <w:left w:val="nil"/>
          <w:bottom w:val="nil"/>
          <w:right w:val="nil"/>
          <w:between w:val="nil"/>
        </w:pBdr>
        <w:jc w:val="both"/>
        <w:rPr>
          <w:rFonts w:ascii="Arial" w:eastAsia="Arial" w:hAnsi="Arial" w:cs="Arial"/>
          <w:b/>
          <w:color w:val="000000"/>
          <w:sz w:val="22"/>
          <w:szCs w:val="22"/>
        </w:rPr>
      </w:pPr>
      <w:bookmarkStart w:id="7" w:name="_yw2zmttsyap8" w:colFirst="0" w:colLast="0"/>
      <w:bookmarkEnd w:id="7"/>
      <w:r>
        <w:rPr>
          <w:rFonts w:ascii="Arial" w:eastAsia="Arial" w:hAnsi="Arial" w:cs="Arial"/>
          <w:b/>
          <w:color w:val="000000"/>
          <w:sz w:val="22"/>
          <w:szCs w:val="22"/>
        </w:rPr>
        <w:t xml:space="preserve">CAUSALES DE RECHAZO DE LAS OFERTAS O DECLARATORIA DE DESIERTO DEL PROCESO: </w:t>
      </w:r>
    </w:p>
    <w:p w14:paraId="103BCA2B" w14:textId="77777777" w:rsidR="00572AD5" w:rsidRDefault="00572AD5">
      <w:pPr>
        <w:pBdr>
          <w:top w:val="nil"/>
          <w:left w:val="nil"/>
          <w:bottom w:val="nil"/>
          <w:right w:val="nil"/>
          <w:between w:val="nil"/>
        </w:pBdr>
        <w:ind w:left="720"/>
        <w:jc w:val="both"/>
        <w:rPr>
          <w:rFonts w:ascii="Arial" w:eastAsia="Arial" w:hAnsi="Arial" w:cs="Arial"/>
          <w:b/>
          <w:color w:val="000000"/>
          <w:sz w:val="22"/>
          <w:szCs w:val="22"/>
        </w:rPr>
      </w:pPr>
    </w:p>
    <w:p w14:paraId="60C7A00C" w14:textId="77777777" w:rsidR="00572AD5" w:rsidRDefault="00000000" w:rsidP="002C6D1E">
      <w:pPr>
        <w:numPr>
          <w:ilvl w:val="1"/>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Causales de Rechazo de las Ofertas:</w:t>
      </w:r>
    </w:p>
    <w:p w14:paraId="6553D0B0" w14:textId="77777777" w:rsidR="00572AD5" w:rsidRDefault="00572AD5">
      <w:pPr>
        <w:pBdr>
          <w:top w:val="nil"/>
          <w:left w:val="nil"/>
          <w:bottom w:val="nil"/>
          <w:right w:val="nil"/>
          <w:between w:val="nil"/>
        </w:pBdr>
        <w:tabs>
          <w:tab w:val="left" w:pos="426"/>
        </w:tabs>
        <w:jc w:val="both"/>
        <w:rPr>
          <w:rFonts w:ascii="Arial" w:eastAsia="Arial" w:hAnsi="Arial" w:cs="Arial"/>
          <w:b/>
          <w:color w:val="000000"/>
          <w:sz w:val="22"/>
          <w:szCs w:val="22"/>
        </w:rPr>
      </w:pPr>
      <w:bookmarkStart w:id="8" w:name="_2kn6d3clpd8h" w:colFirst="0" w:colLast="0"/>
      <w:bookmarkEnd w:id="8"/>
    </w:p>
    <w:p w14:paraId="5B79D218" w14:textId="77777777" w:rsidR="00572AD5" w:rsidRDefault="00000000">
      <w:pPr>
        <w:numPr>
          <w:ilvl w:val="0"/>
          <w:numId w:val="31"/>
        </w:numPr>
        <w:ind w:left="709" w:hanging="425"/>
        <w:jc w:val="both"/>
        <w:rPr>
          <w:rFonts w:ascii="Arial" w:eastAsia="Arial" w:hAnsi="Arial" w:cs="Arial"/>
          <w:sz w:val="22"/>
          <w:szCs w:val="22"/>
        </w:rPr>
      </w:pPr>
      <w:r>
        <w:rPr>
          <w:rFonts w:ascii="Arial" w:eastAsia="Arial" w:hAnsi="Arial" w:cs="Arial"/>
          <w:color w:val="000000"/>
          <w:sz w:val="22"/>
          <w:szCs w:val="22"/>
        </w:rPr>
        <w:t>Cuando el proponente se encuentre incurso en alguna de las causales de inhabilidad o incompatibilidad y/o prohibición para contratar, de conformidad con el Artículo 8 de la Ley 80 de 1993 en concordancia con el artículo 90 del Estatuto Anticorrupción (Ley 1474 de 2011).   </w:t>
      </w:r>
    </w:p>
    <w:p w14:paraId="6B7DBA9B" w14:textId="77777777" w:rsidR="00572AD5" w:rsidRDefault="00000000">
      <w:pPr>
        <w:numPr>
          <w:ilvl w:val="0"/>
          <w:numId w:val="33"/>
        </w:numPr>
        <w:ind w:left="709" w:hanging="425"/>
        <w:jc w:val="both"/>
        <w:rPr>
          <w:rFonts w:ascii="Arial" w:eastAsia="Arial" w:hAnsi="Arial" w:cs="Arial"/>
          <w:sz w:val="22"/>
          <w:szCs w:val="22"/>
        </w:rPr>
      </w:pPr>
      <w:r>
        <w:rPr>
          <w:rFonts w:ascii="Arial" w:eastAsia="Arial" w:hAnsi="Arial" w:cs="Arial"/>
          <w:color w:val="000000"/>
          <w:sz w:val="22"/>
          <w:szCs w:val="22"/>
        </w:rPr>
        <w:t>Cuando la propuesta se presente fuera del término del proceso, o que sea remitida en físico, por mensaje, correo electrónico, o entregadas en lugar diferente al señalado dentro de la plataforma SECOP II.  </w:t>
      </w:r>
    </w:p>
    <w:p w14:paraId="516CCEFC" w14:textId="77777777" w:rsidR="00572AD5" w:rsidRDefault="00000000">
      <w:pPr>
        <w:numPr>
          <w:ilvl w:val="0"/>
          <w:numId w:val="34"/>
        </w:numPr>
        <w:ind w:left="709" w:hanging="425"/>
        <w:jc w:val="both"/>
        <w:rPr>
          <w:rFonts w:ascii="Arial" w:eastAsia="Arial" w:hAnsi="Arial" w:cs="Arial"/>
          <w:sz w:val="22"/>
          <w:szCs w:val="22"/>
        </w:rPr>
      </w:pPr>
      <w:r>
        <w:rPr>
          <w:rFonts w:ascii="Arial" w:eastAsia="Arial" w:hAnsi="Arial" w:cs="Arial"/>
          <w:color w:val="000000"/>
          <w:sz w:val="22"/>
          <w:szCs w:val="22"/>
        </w:rPr>
        <w:t>Cuando la propuesta presentada no cumpla con los requerimientos mínimos establecidos en el Pliego de Condiciones, sus Anexos, formatos y adendas vigentes y no hubiere posibilidad de saneamiento conforme a lo previsto en él mismo y en la ley.   </w:t>
      </w:r>
    </w:p>
    <w:p w14:paraId="564D6AFE" w14:textId="77777777" w:rsidR="00572AD5" w:rsidRDefault="00000000">
      <w:pPr>
        <w:numPr>
          <w:ilvl w:val="0"/>
          <w:numId w:val="37"/>
        </w:numPr>
        <w:ind w:left="709" w:hanging="425"/>
        <w:jc w:val="both"/>
        <w:rPr>
          <w:rFonts w:ascii="Arial" w:eastAsia="Arial" w:hAnsi="Arial" w:cs="Arial"/>
          <w:sz w:val="22"/>
          <w:szCs w:val="22"/>
        </w:rPr>
      </w:pPr>
      <w:r>
        <w:rPr>
          <w:rFonts w:ascii="Arial" w:eastAsia="Arial" w:hAnsi="Arial" w:cs="Arial"/>
          <w:color w:val="000000"/>
          <w:sz w:val="22"/>
          <w:szCs w:val="22"/>
        </w:rPr>
        <w:t>Cuando el proponente plural presente oferta desde una cuenta diferente a la propia, constituida en forma asociativa, de conformidad con lo indicado por Colombia Compra Eficiente en los manuales de uso de SECOP II.  </w:t>
      </w:r>
    </w:p>
    <w:p w14:paraId="730E7D1E" w14:textId="77777777" w:rsidR="00572AD5" w:rsidRDefault="00000000">
      <w:pPr>
        <w:numPr>
          <w:ilvl w:val="0"/>
          <w:numId w:val="40"/>
        </w:numPr>
        <w:ind w:left="709" w:hanging="425"/>
        <w:jc w:val="both"/>
        <w:rPr>
          <w:rFonts w:ascii="Arial" w:eastAsia="Arial" w:hAnsi="Arial" w:cs="Arial"/>
          <w:sz w:val="22"/>
          <w:szCs w:val="22"/>
        </w:rPr>
      </w:pPr>
      <w:r>
        <w:rPr>
          <w:rFonts w:ascii="Arial" w:eastAsia="Arial" w:hAnsi="Arial" w:cs="Arial"/>
          <w:color w:val="000000"/>
          <w:sz w:val="22"/>
          <w:szCs w:val="22"/>
        </w:rPr>
        <w:t>Cuando la propuesta sea presentada por personas jurídicamente incapaces para obligarse.  </w:t>
      </w:r>
    </w:p>
    <w:p w14:paraId="0DE2E8DA" w14:textId="77777777" w:rsidR="00572AD5" w:rsidRDefault="00000000">
      <w:pPr>
        <w:numPr>
          <w:ilvl w:val="0"/>
          <w:numId w:val="41"/>
        </w:numPr>
        <w:ind w:left="709" w:hanging="425"/>
        <w:jc w:val="both"/>
        <w:rPr>
          <w:rFonts w:ascii="Arial" w:eastAsia="Arial" w:hAnsi="Arial" w:cs="Arial"/>
          <w:sz w:val="22"/>
          <w:szCs w:val="22"/>
        </w:rPr>
      </w:pPr>
      <w:r>
        <w:rPr>
          <w:rFonts w:ascii="Arial" w:eastAsia="Arial" w:hAnsi="Arial" w:cs="Arial"/>
          <w:color w:val="000000"/>
          <w:sz w:val="22"/>
          <w:szCs w:val="22"/>
        </w:rPr>
        <w:t>Cuando el representante legal del proponente o de alguno de los integrantes del Consorcio o Unión Temporal no se encuentre debidamente autorizado para presentar la propuesta y firmar contrato de acuerdo con los estatutos sociales y una vez requerido no aporte el documento respectivo que lo faculte.  </w:t>
      </w:r>
    </w:p>
    <w:p w14:paraId="550BBDE6" w14:textId="77777777" w:rsidR="00572AD5" w:rsidRDefault="00000000">
      <w:pPr>
        <w:numPr>
          <w:ilvl w:val="0"/>
          <w:numId w:val="2"/>
        </w:numPr>
        <w:ind w:left="709" w:hanging="425"/>
        <w:jc w:val="both"/>
        <w:rPr>
          <w:rFonts w:ascii="Arial" w:eastAsia="Arial" w:hAnsi="Arial" w:cs="Arial"/>
          <w:sz w:val="22"/>
          <w:szCs w:val="22"/>
        </w:rPr>
      </w:pPr>
      <w:r>
        <w:rPr>
          <w:rFonts w:ascii="Arial" w:eastAsia="Arial" w:hAnsi="Arial" w:cs="Arial"/>
          <w:color w:val="000000"/>
          <w:sz w:val="22"/>
          <w:szCs w:val="22"/>
        </w:rPr>
        <w:t> Cuando para un mismo proceso, una sociedad y su filial y/o subsidiaria, presenten propuestas en forma separada, en este caso se rechazará la propuesta radicada en segundo lugar y siguientes de acuerdo al acta de cierre  </w:t>
      </w:r>
    </w:p>
    <w:p w14:paraId="3E80FE11" w14:textId="77777777" w:rsidR="00572AD5" w:rsidRDefault="00000000">
      <w:pPr>
        <w:numPr>
          <w:ilvl w:val="0"/>
          <w:numId w:val="3"/>
        </w:numPr>
        <w:ind w:left="709" w:hanging="425"/>
        <w:jc w:val="both"/>
        <w:rPr>
          <w:rFonts w:ascii="Arial" w:eastAsia="Arial" w:hAnsi="Arial" w:cs="Arial"/>
          <w:sz w:val="22"/>
          <w:szCs w:val="22"/>
        </w:rPr>
      </w:pPr>
      <w:r>
        <w:rPr>
          <w:rFonts w:ascii="Arial" w:eastAsia="Arial" w:hAnsi="Arial" w:cs="Arial"/>
          <w:color w:val="000000"/>
          <w:sz w:val="22"/>
          <w:szCs w:val="22"/>
        </w:rPr>
        <w:t>Cuando se evidencie el mismo profesional ofertado para acreditar los requisitos habilitantes, en más de una oferta. En tal situación, se rechazan todas las ofertas que tengan el mismo profesional propuesto.  </w:t>
      </w:r>
    </w:p>
    <w:p w14:paraId="759FA006" w14:textId="77777777" w:rsidR="00572AD5" w:rsidRDefault="00000000">
      <w:pPr>
        <w:numPr>
          <w:ilvl w:val="0"/>
          <w:numId w:val="4"/>
        </w:numPr>
        <w:ind w:left="709" w:hanging="425"/>
        <w:jc w:val="both"/>
        <w:rPr>
          <w:rFonts w:ascii="Arial" w:eastAsia="Arial" w:hAnsi="Arial" w:cs="Arial"/>
          <w:sz w:val="22"/>
          <w:szCs w:val="22"/>
        </w:rPr>
      </w:pPr>
      <w:r>
        <w:rPr>
          <w:rFonts w:ascii="Arial" w:eastAsia="Arial" w:hAnsi="Arial" w:cs="Arial"/>
          <w:color w:val="000000"/>
          <w:sz w:val="22"/>
          <w:szCs w:val="22"/>
        </w:rPr>
        <w:t xml:space="preserve"> Cuando la inscripción en el Registro Único de Proponentes no se encuentre vigente y en firme dentro del término establecido en el Pliego. (NO APLICA PARA LA PRESENTE INVITACION PUBLICA).  </w:t>
      </w:r>
    </w:p>
    <w:p w14:paraId="07CAFBD2" w14:textId="77777777" w:rsidR="00572AD5" w:rsidRDefault="00000000">
      <w:pPr>
        <w:numPr>
          <w:ilvl w:val="0"/>
          <w:numId w:val="5"/>
        </w:numPr>
        <w:ind w:left="709" w:hanging="425"/>
        <w:jc w:val="both"/>
        <w:rPr>
          <w:rFonts w:ascii="Arial" w:eastAsia="Arial" w:hAnsi="Arial" w:cs="Arial"/>
          <w:sz w:val="22"/>
          <w:szCs w:val="22"/>
        </w:rPr>
      </w:pPr>
      <w:r>
        <w:rPr>
          <w:rFonts w:ascii="Arial" w:eastAsia="Arial" w:hAnsi="Arial" w:cs="Arial"/>
          <w:color w:val="000000"/>
          <w:sz w:val="22"/>
          <w:szCs w:val="22"/>
        </w:rPr>
        <w:t>Cuando para este mismo proceso (por lote, cuando aplique) se presenten varias propuestas por el mismo proponente por sí o por interpuesta persona, o por los socios que integran la persona jurídica, individualmente o a través de un consorcio o unión temporal.   </w:t>
      </w:r>
    </w:p>
    <w:p w14:paraId="112B61A9" w14:textId="77777777" w:rsidR="00572AD5" w:rsidRDefault="00000000">
      <w:pPr>
        <w:numPr>
          <w:ilvl w:val="0"/>
          <w:numId w:val="6"/>
        </w:numPr>
        <w:ind w:left="709" w:hanging="425"/>
        <w:jc w:val="both"/>
        <w:rPr>
          <w:rFonts w:ascii="Arial" w:eastAsia="Arial" w:hAnsi="Arial" w:cs="Arial"/>
          <w:sz w:val="22"/>
          <w:szCs w:val="22"/>
        </w:rPr>
      </w:pPr>
      <w:r>
        <w:rPr>
          <w:rFonts w:ascii="Arial" w:eastAsia="Arial" w:hAnsi="Arial" w:cs="Arial"/>
          <w:color w:val="000000"/>
          <w:sz w:val="22"/>
          <w:szCs w:val="22"/>
        </w:rPr>
        <w:lastRenderedPageBreak/>
        <w:t>Cuando se compruebe que los documentos presentados por el proponente contienen información imprecisa, inexacta o que de cualquier manera no corresponda a la realidad y genere confusión para la Entidad, caso en el cual se iniciarán las acciones correspondientes, si a ello hubiere lugar.   </w:t>
      </w:r>
    </w:p>
    <w:p w14:paraId="484E56FA" w14:textId="77777777" w:rsidR="00572AD5" w:rsidRDefault="00000000">
      <w:pPr>
        <w:numPr>
          <w:ilvl w:val="0"/>
          <w:numId w:val="7"/>
        </w:numPr>
        <w:ind w:left="709" w:hanging="425"/>
        <w:jc w:val="both"/>
        <w:rPr>
          <w:rFonts w:ascii="Arial" w:eastAsia="Arial" w:hAnsi="Arial" w:cs="Arial"/>
          <w:sz w:val="22"/>
          <w:szCs w:val="22"/>
        </w:rPr>
      </w:pPr>
      <w:r>
        <w:rPr>
          <w:rFonts w:ascii="Arial" w:eastAsia="Arial" w:hAnsi="Arial" w:cs="Arial"/>
          <w:color w:val="000000"/>
          <w:sz w:val="22"/>
          <w:szCs w:val="22"/>
        </w:rPr>
        <w:t>Cuando se compruebe que el proponente ha influido o presionado sobre el estudio de las ofertas.   </w:t>
      </w:r>
    </w:p>
    <w:p w14:paraId="006B92B6" w14:textId="77777777" w:rsidR="00572AD5" w:rsidRDefault="00000000">
      <w:pPr>
        <w:numPr>
          <w:ilvl w:val="0"/>
          <w:numId w:val="8"/>
        </w:numPr>
        <w:ind w:left="709" w:hanging="425"/>
        <w:jc w:val="both"/>
        <w:rPr>
          <w:rFonts w:ascii="Arial" w:eastAsia="Arial" w:hAnsi="Arial" w:cs="Arial"/>
          <w:sz w:val="22"/>
          <w:szCs w:val="22"/>
        </w:rPr>
      </w:pPr>
      <w:r>
        <w:rPr>
          <w:rFonts w:ascii="Arial" w:eastAsia="Arial" w:hAnsi="Arial" w:cs="Arial"/>
          <w:color w:val="000000"/>
          <w:sz w:val="22"/>
          <w:szCs w:val="22"/>
        </w:rPr>
        <w:t>Cuando el proponente presente su oferta con algún tipo de condicionamiento, en cualquiera de los documentos de la propuesta.   </w:t>
      </w:r>
    </w:p>
    <w:p w14:paraId="39E7F415" w14:textId="77777777" w:rsidR="00572AD5" w:rsidRDefault="00000000">
      <w:pPr>
        <w:numPr>
          <w:ilvl w:val="0"/>
          <w:numId w:val="9"/>
        </w:numPr>
        <w:ind w:left="709" w:hanging="425"/>
        <w:jc w:val="both"/>
        <w:rPr>
          <w:rFonts w:ascii="Arial" w:eastAsia="Arial" w:hAnsi="Arial" w:cs="Arial"/>
          <w:sz w:val="22"/>
          <w:szCs w:val="22"/>
        </w:rPr>
      </w:pPr>
      <w:r>
        <w:rPr>
          <w:rFonts w:ascii="Arial" w:eastAsia="Arial" w:hAnsi="Arial" w:cs="Arial"/>
          <w:color w:val="000000"/>
          <w:sz w:val="22"/>
          <w:szCs w:val="22"/>
        </w:rPr>
        <w:t>Cuando supere el porcentaje (%) de Administración y/o Utilidad determinados por el SENA.  </w:t>
      </w:r>
    </w:p>
    <w:p w14:paraId="128BAAAA" w14:textId="77777777" w:rsidR="00572AD5" w:rsidRDefault="00000000">
      <w:pPr>
        <w:numPr>
          <w:ilvl w:val="0"/>
          <w:numId w:val="10"/>
        </w:numPr>
        <w:ind w:left="709" w:hanging="425"/>
        <w:jc w:val="both"/>
        <w:rPr>
          <w:rFonts w:ascii="Arial" w:eastAsia="Arial" w:hAnsi="Arial" w:cs="Arial"/>
          <w:sz w:val="22"/>
          <w:szCs w:val="22"/>
        </w:rPr>
      </w:pPr>
      <w:r>
        <w:rPr>
          <w:rFonts w:ascii="Arial" w:eastAsia="Arial" w:hAnsi="Arial" w:cs="Arial"/>
          <w:color w:val="000000"/>
          <w:sz w:val="22"/>
          <w:szCs w:val="22"/>
        </w:rPr>
        <w:t>Cuando supere el factor multiplicador definido.  </w:t>
      </w:r>
    </w:p>
    <w:p w14:paraId="131F0351" w14:textId="77777777" w:rsidR="00572AD5" w:rsidRDefault="00000000">
      <w:pPr>
        <w:numPr>
          <w:ilvl w:val="0"/>
          <w:numId w:val="11"/>
        </w:numPr>
        <w:ind w:left="709" w:hanging="425"/>
        <w:jc w:val="both"/>
        <w:rPr>
          <w:rFonts w:ascii="Arial" w:eastAsia="Arial" w:hAnsi="Arial" w:cs="Arial"/>
          <w:sz w:val="22"/>
          <w:szCs w:val="22"/>
        </w:rPr>
      </w:pPr>
      <w:r>
        <w:rPr>
          <w:rFonts w:ascii="Arial" w:eastAsia="Arial" w:hAnsi="Arial" w:cs="Arial"/>
          <w:color w:val="000000"/>
          <w:sz w:val="22"/>
          <w:szCs w:val="22"/>
        </w:rPr>
        <w:t>Cuando el proponente dentro del término previsto en la solicitud que se realice no responda al requerimiento que haga la Entidad para subsanarla.  </w:t>
      </w:r>
    </w:p>
    <w:p w14:paraId="27CEFFD0" w14:textId="77777777" w:rsidR="00572AD5" w:rsidRDefault="00000000">
      <w:pPr>
        <w:numPr>
          <w:ilvl w:val="0"/>
          <w:numId w:val="12"/>
        </w:numPr>
        <w:ind w:left="709" w:hanging="425"/>
        <w:jc w:val="both"/>
        <w:rPr>
          <w:rFonts w:ascii="Arial" w:eastAsia="Arial" w:hAnsi="Arial" w:cs="Arial"/>
          <w:sz w:val="22"/>
          <w:szCs w:val="22"/>
        </w:rPr>
      </w:pPr>
      <w:r>
        <w:rPr>
          <w:rFonts w:ascii="Arial" w:eastAsia="Arial" w:hAnsi="Arial" w:cs="Arial"/>
          <w:color w:val="000000"/>
          <w:sz w:val="22"/>
          <w:szCs w:val="22"/>
        </w:rPr>
        <w:t>Cuando el proponente subsane, pero no lo haga en debida forma y quede insatisfecho el requerimiento realizado por la Entidad.  </w:t>
      </w:r>
    </w:p>
    <w:p w14:paraId="4B3889AE" w14:textId="77777777" w:rsidR="00572AD5" w:rsidRDefault="00000000">
      <w:pPr>
        <w:numPr>
          <w:ilvl w:val="0"/>
          <w:numId w:val="13"/>
        </w:numPr>
        <w:ind w:left="709" w:hanging="425"/>
        <w:jc w:val="both"/>
        <w:rPr>
          <w:rFonts w:ascii="Arial" w:eastAsia="Arial" w:hAnsi="Arial" w:cs="Arial"/>
          <w:sz w:val="22"/>
          <w:szCs w:val="22"/>
        </w:rPr>
      </w:pPr>
      <w:r>
        <w:rPr>
          <w:rFonts w:ascii="Arial" w:eastAsia="Arial" w:hAnsi="Arial" w:cs="Arial"/>
          <w:color w:val="000000"/>
          <w:sz w:val="22"/>
          <w:szCs w:val="22"/>
        </w:rPr>
        <w:t>Cuando formule una oferta en la que se fijen condiciones económicas y de contrataciones artificiales, debidamente evidenciadas una vez surtido el debido proceso o ante la ausencia de respuesta del oferente a las aclaraciones solicitadas, dentro del término dispuesto para ello o cuando las explicaciones rendidas no respondan a circunstancias objetivas del oferente y de su oferta.  </w:t>
      </w:r>
    </w:p>
    <w:p w14:paraId="5306BE1D" w14:textId="77777777" w:rsidR="00572AD5" w:rsidRDefault="00000000">
      <w:pPr>
        <w:numPr>
          <w:ilvl w:val="0"/>
          <w:numId w:val="14"/>
        </w:numPr>
        <w:ind w:left="709" w:hanging="425"/>
        <w:jc w:val="both"/>
        <w:rPr>
          <w:rFonts w:ascii="Arial" w:eastAsia="Arial" w:hAnsi="Arial" w:cs="Arial"/>
          <w:sz w:val="22"/>
          <w:szCs w:val="22"/>
        </w:rPr>
      </w:pPr>
      <w:r>
        <w:rPr>
          <w:rFonts w:ascii="Arial" w:eastAsia="Arial" w:hAnsi="Arial" w:cs="Arial"/>
          <w:color w:val="000000"/>
          <w:sz w:val="22"/>
          <w:szCs w:val="22"/>
        </w:rPr>
        <w:t>Modificar la integración de la figura asociativa, consorcial o de unión temporal, luego de presentada la oferta.  </w:t>
      </w:r>
    </w:p>
    <w:p w14:paraId="44B83993" w14:textId="77777777" w:rsidR="00572AD5" w:rsidRDefault="00000000">
      <w:pPr>
        <w:numPr>
          <w:ilvl w:val="0"/>
          <w:numId w:val="15"/>
        </w:numPr>
        <w:ind w:left="709" w:hanging="425"/>
        <w:jc w:val="both"/>
        <w:rPr>
          <w:rFonts w:ascii="Arial" w:eastAsia="Arial" w:hAnsi="Arial" w:cs="Arial"/>
          <w:sz w:val="22"/>
          <w:szCs w:val="22"/>
        </w:rPr>
      </w:pPr>
      <w:r>
        <w:rPr>
          <w:rFonts w:ascii="Arial" w:eastAsia="Arial" w:hAnsi="Arial" w:cs="Arial"/>
          <w:color w:val="000000"/>
          <w:sz w:val="22"/>
          <w:szCs w:val="22"/>
        </w:rPr>
        <w:t>La no constitución de la garantía de seriedad con anterioridad a la fecha y hora establecida en el cronograma del proceso para la entrega de la propuesta. (NO APLICA PARA LA PRESENTE INVITACION PUBLICA). </w:t>
      </w:r>
    </w:p>
    <w:p w14:paraId="6A858A7A" w14:textId="77777777" w:rsidR="00572AD5" w:rsidRDefault="00000000">
      <w:pPr>
        <w:numPr>
          <w:ilvl w:val="0"/>
          <w:numId w:val="16"/>
        </w:numPr>
        <w:ind w:left="709" w:hanging="425"/>
        <w:jc w:val="both"/>
        <w:rPr>
          <w:rFonts w:ascii="Arial" w:eastAsia="Arial" w:hAnsi="Arial" w:cs="Arial"/>
          <w:sz w:val="22"/>
          <w:szCs w:val="22"/>
        </w:rPr>
      </w:pPr>
      <w:r>
        <w:rPr>
          <w:rFonts w:ascii="Arial" w:eastAsia="Arial" w:hAnsi="Arial" w:cs="Arial"/>
          <w:color w:val="000000"/>
          <w:sz w:val="22"/>
          <w:szCs w:val="22"/>
        </w:rPr>
        <w:t>La no entrega de la garantía dentro de la propuesta presentada en el cierre del proceso.  (NO APLICA PARA LA PRESENTE INVITACION PUBLICA).</w:t>
      </w:r>
    </w:p>
    <w:p w14:paraId="201E4E80" w14:textId="77777777" w:rsidR="00572AD5" w:rsidRDefault="00000000">
      <w:pPr>
        <w:numPr>
          <w:ilvl w:val="0"/>
          <w:numId w:val="17"/>
        </w:numPr>
        <w:ind w:left="709" w:hanging="425"/>
        <w:jc w:val="both"/>
        <w:rPr>
          <w:rFonts w:ascii="Arial" w:eastAsia="Arial" w:hAnsi="Arial" w:cs="Arial"/>
          <w:sz w:val="22"/>
          <w:szCs w:val="22"/>
        </w:rPr>
      </w:pPr>
      <w:r>
        <w:rPr>
          <w:rFonts w:ascii="Arial" w:eastAsia="Arial" w:hAnsi="Arial" w:cs="Arial"/>
          <w:color w:val="000000"/>
          <w:sz w:val="22"/>
          <w:szCs w:val="22"/>
        </w:rPr>
        <w:t>El proponente no diligencie en su totalidad los Formatos, y persista ello con posterioridad a la solicitud de subsanación de la Entidad.  </w:t>
      </w:r>
    </w:p>
    <w:p w14:paraId="45B658B8" w14:textId="77777777" w:rsidR="00572AD5" w:rsidRDefault="00000000">
      <w:pPr>
        <w:numPr>
          <w:ilvl w:val="0"/>
          <w:numId w:val="18"/>
        </w:numPr>
        <w:ind w:left="709" w:hanging="425"/>
        <w:jc w:val="both"/>
        <w:rPr>
          <w:rFonts w:ascii="Arial" w:eastAsia="Arial" w:hAnsi="Arial" w:cs="Arial"/>
          <w:sz w:val="22"/>
          <w:szCs w:val="22"/>
        </w:rPr>
      </w:pPr>
      <w:r>
        <w:rPr>
          <w:rFonts w:ascii="Arial" w:eastAsia="Arial" w:hAnsi="Arial" w:cs="Arial"/>
          <w:color w:val="000000"/>
          <w:sz w:val="22"/>
          <w:szCs w:val="22"/>
        </w:rPr>
        <w:t>Cuando el objeto social de la persona jurídica, la actividad comercial de la persona natural, o el objeto social de alguno de los miembros que conforman la Estructura Plural PROPONENTE no permita ejecutar las actividades descritas en el objeto del proceso de selección.  </w:t>
      </w:r>
    </w:p>
    <w:p w14:paraId="7F766AF9" w14:textId="77777777" w:rsidR="00572AD5" w:rsidRDefault="00000000">
      <w:pPr>
        <w:numPr>
          <w:ilvl w:val="0"/>
          <w:numId w:val="19"/>
        </w:numPr>
        <w:ind w:left="709" w:hanging="425"/>
        <w:jc w:val="both"/>
        <w:rPr>
          <w:rFonts w:ascii="Arial" w:eastAsia="Arial" w:hAnsi="Arial" w:cs="Arial"/>
          <w:sz w:val="22"/>
          <w:szCs w:val="22"/>
        </w:rPr>
      </w:pPr>
      <w:r>
        <w:rPr>
          <w:rFonts w:ascii="Arial" w:eastAsia="Arial" w:hAnsi="Arial" w:cs="Arial"/>
          <w:color w:val="000000"/>
          <w:sz w:val="22"/>
          <w:szCs w:val="22"/>
        </w:rPr>
        <w:t>Cuando se omita, modifique, adicione, suprima o altere uno o varias de las descripciones o cantidades de la “OFERTA ECONÓMICA”.   </w:t>
      </w:r>
    </w:p>
    <w:p w14:paraId="7CF2D461" w14:textId="77777777" w:rsidR="00572AD5" w:rsidRDefault="00000000">
      <w:pPr>
        <w:numPr>
          <w:ilvl w:val="0"/>
          <w:numId w:val="20"/>
        </w:numPr>
        <w:ind w:left="709" w:hanging="425"/>
        <w:jc w:val="both"/>
        <w:rPr>
          <w:rFonts w:ascii="Arial" w:eastAsia="Arial" w:hAnsi="Arial" w:cs="Arial"/>
          <w:sz w:val="22"/>
          <w:szCs w:val="22"/>
        </w:rPr>
      </w:pPr>
      <w:r>
        <w:rPr>
          <w:rFonts w:ascii="Arial" w:eastAsia="Arial" w:hAnsi="Arial" w:cs="Arial"/>
          <w:color w:val="000000"/>
          <w:sz w:val="22"/>
          <w:szCs w:val="22"/>
        </w:rPr>
        <w:t>Cuando el valor de la propuesta económica exceda el del presupuesto oficial.  </w:t>
      </w:r>
    </w:p>
    <w:p w14:paraId="0ACA8C3F" w14:textId="77777777" w:rsidR="00572AD5" w:rsidRDefault="00000000">
      <w:pPr>
        <w:numPr>
          <w:ilvl w:val="0"/>
          <w:numId w:val="21"/>
        </w:numPr>
        <w:ind w:left="709" w:hanging="425"/>
        <w:jc w:val="both"/>
        <w:rPr>
          <w:rFonts w:ascii="Arial" w:eastAsia="Arial" w:hAnsi="Arial" w:cs="Arial"/>
          <w:sz w:val="22"/>
          <w:szCs w:val="22"/>
        </w:rPr>
      </w:pPr>
      <w:r>
        <w:rPr>
          <w:rFonts w:ascii="Arial" w:eastAsia="Arial" w:hAnsi="Arial" w:cs="Arial"/>
          <w:color w:val="000000"/>
          <w:sz w:val="22"/>
          <w:szCs w:val="22"/>
        </w:rPr>
        <w:t>De existir error aritmético y la corrección a que haya lugar de la oferta económica, supere el 2% del valor total de la misma.   </w:t>
      </w:r>
    </w:p>
    <w:p w14:paraId="1772FBDF" w14:textId="77777777" w:rsidR="00572AD5" w:rsidRDefault="00000000">
      <w:pPr>
        <w:numPr>
          <w:ilvl w:val="0"/>
          <w:numId w:val="22"/>
        </w:numPr>
        <w:ind w:left="709" w:hanging="425"/>
        <w:jc w:val="both"/>
        <w:rPr>
          <w:rFonts w:ascii="Arial" w:eastAsia="Arial" w:hAnsi="Arial" w:cs="Arial"/>
          <w:sz w:val="22"/>
          <w:szCs w:val="22"/>
        </w:rPr>
      </w:pPr>
      <w:r>
        <w:rPr>
          <w:rFonts w:ascii="Arial" w:eastAsia="Arial" w:hAnsi="Arial" w:cs="Arial"/>
          <w:color w:val="000000"/>
          <w:sz w:val="22"/>
          <w:szCs w:val="22"/>
        </w:rPr>
        <w:t>Los demás casos expresamente establecidos en la ley o en el Pliego de Condiciones Electrónico.  </w:t>
      </w:r>
    </w:p>
    <w:p w14:paraId="31354938" w14:textId="77777777" w:rsidR="00572AD5" w:rsidRDefault="00572AD5">
      <w:pPr>
        <w:pBdr>
          <w:top w:val="nil"/>
          <w:left w:val="nil"/>
          <w:bottom w:val="nil"/>
          <w:right w:val="nil"/>
          <w:between w:val="nil"/>
        </w:pBdr>
        <w:spacing w:after="200" w:line="276" w:lineRule="auto"/>
        <w:ind w:left="720"/>
        <w:rPr>
          <w:rFonts w:ascii="Arial" w:eastAsia="Arial" w:hAnsi="Arial" w:cs="Arial"/>
          <w:color w:val="000000"/>
          <w:sz w:val="22"/>
          <w:szCs w:val="22"/>
        </w:rPr>
      </w:pPr>
    </w:p>
    <w:p w14:paraId="6446AD74" w14:textId="77777777" w:rsidR="00572AD5" w:rsidRDefault="00000000" w:rsidP="002C6D1E">
      <w:pPr>
        <w:numPr>
          <w:ilvl w:val="1"/>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Causales para declarar desierto el Proceso de Contratación:</w:t>
      </w:r>
    </w:p>
    <w:p w14:paraId="06791941" w14:textId="77777777" w:rsidR="00572AD5" w:rsidRDefault="00572AD5">
      <w:pPr>
        <w:pBdr>
          <w:top w:val="nil"/>
          <w:left w:val="nil"/>
          <w:bottom w:val="nil"/>
          <w:right w:val="nil"/>
          <w:between w:val="nil"/>
        </w:pBdr>
        <w:ind w:left="1075"/>
        <w:jc w:val="both"/>
        <w:rPr>
          <w:rFonts w:ascii="Arial" w:eastAsia="Arial" w:hAnsi="Arial" w:cs="Arial"/>
          <w:b/>
          <w:color w:val="000000"/>
          <w:sz w:val="22"/>
          <w:szCs w:val="22"/>
        </w:rPr>
      </w:pPr>
    </w:p>
    <w:p w14:paraId="6ECA8B7B" w14:textId="77777777" w:rsidR="00572AD5" w:rsidRDefault="00000000">
      <w:pPr>
        <w:numPr>
          <w:ilvl w:val="0"/>
          <w:numId w:val="1"/>
        </w:numPr>
        <w:pBdr>
          <w:top w:val="nil"/>
          <w:left w:val="nil"/>
          <w:bottom w:val="nil"/>
          <w:right w:val="nil"/>
          <w:between w:val="nil"/>
        </w:pBdr>
        <w:jc w:val="both"/>
        <w:rPr>
          <w:b/>
          <w:color w:val="000000"/>
        </w:rPr>
      </w:pPr>
      <w:r>
        <w:rPr>
          <w:rFonts w:ascii="Arial" w:eastAsia="Arial" w:hAnsi="Arial" w:cs="Arial"/>
          <w:color w:val="000000"/>
          <w:sz w:val="22"/>
          <w:szCs w:val="22"/>
        </w:rPr>
        <w:t>Cuando no se presente propuesta alguna.</w:t>
      </w:r>
    </w:p>
    <w:p w14:paraId="6B55E8B7" w14:textId="77777777" w:rsidR="00572AD5" w:rsidRDefault="00000000">
      <w:pPr>
        <w:numPr>
          <w:ilvl w:val="0"/>
          <w:numId w:val="1"/>
        </w:numPr>
        <w:pBdr>
          <w:top w:val="nil"/>
          <w:left w:val="nil"/>
          <w:bottom w:val="nil"/>
          <w:right w:val="nil"/>
          <w:between w:val="nil"/>
        </w:pBdr>
        <w:jc w:val="both"/>
        <w:rPr>
          <w:b/>
          <w:color w:val="000000"/>
        </w:rPr>
      </w:pPr>
      <w:r>
        <w:rPr>
          <w:rFonts w:ascii="Arial" w:eastAsia="Arial" w:hAnsi="Arial" w:cs="Arial"/>
          <w:color w:val="000000"/>
          <w:sz w:val="22"/>
          <w:szCs w:val="22"/>
        </w:rPr>
        <w:t>Cuando ninguna de las propuestas cumpla con los requisitos técnicos y habilitantes.</w:t>
      </w:r>
    </w:p>
    <w:p w14:paraId="59CD9835"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3F552077" w14:textId="77777777" w:rsidR="00572AD5" w:rsidRDefault="00000000" w:rsidP="002C6D1E">
      <w:pPr>
        <w:numPr>
          <w:ilvl w:val="1"/>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Fundamentos Jurídicos que soportan la modalidad de selección: </w:t>
      </w:r>
    </w:p>
    <w:p w14:paraId="3FCB4EB2" w14:textId="77777777" w:rsidR="00572AD5" w:rsidRDefault="00572AD5">
      <w:pPr>
        <w:pBdr>
          <w:top w:val="nil"/>
          <w:left w:val="nil"/>
          <w:bottom w:val="nil"/>
          <w:right w:val="nil"/>
          <w:between w:val="nil"/>
        </w:pBdr>
        <w:ind w:left="-142"/>
        <w:jc w:val="both"/>
        <w:rPr>
          <w:rFonts w:ascii="Arial" w:eastAsia="Arial" w:hAnsi="Arial" w:cs="Arial"/>
          <w:b/>
          <w:color w:val="000000"/>
          <w:sz w:val="22"/>
          <w:szCs w:val="22"/>
        </w:rPr>
      </w:pPr>
    </w:p>
    <w:p w14:paraId="7596D7DB" w14:textId="77777777" w:rsidR="00572AD5" w:rsidRDefault="00000000">
      <w:p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color w:val="000000"/>
          <w:sz w:val="22"/>
          <w:szCs w:val="22"/>
        </w:rPr>
        <w:t>Por tratarse de un contrato inferior al 10% de la menor cuantía de conformidad con los numerales 7 y 12 del artículo 25 de la Ley 80 de 1993, este último modificado por el artículo 87 de la Ley 1474 de 2011; artículo 2 de la Ley 1150 de 2007 adicionado por el artículo 94 de la Ley 1474 de 2011 y reglamentado por los artículos 2.2.1.2.1.5.1 y 2.2.1.2.1.5.2 Subsección 5 del Decreto 1082 de 2015. Se contratará mediante una invitación pública en la modalidad de mínima, teniendo en cuenta como factor de selección además de los requisitos habilitantes, el menor precio de las propuestas.</w:t>
      </w:r>
    </w:p>
    <w:p w14:paraId="36E3DA8E"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E4445F0" w14:textId="77777777" w:rsidR="00572AD5" w:rsidRDefault="00000000" w:rsidP="002C6D1E">
      <w:pPr>
        <w:numPr>
          <w:ilvl w:val="1"/>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Justificación de los factores de selección que permitan identificar la oferta más favorable para la entidad:</w:t>
      </w:r>
      <w:r>
        <w:rPr>
          <w:rFonts w:ascii="Arial" w:eastAsia="Arial" w:hAnsi="Arial" w:cs="Arial"/>
          <w:color w:val="000000"/>
          <w:sz w:val="22"/>
          <w:szCs w:val="22"/>
        </w:rPr>
        <w:t xml:space="preserve"> </w:t>
      </w:r>
    </w:p>
    <w:p w14:paraId="7C3BE58B"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0E2122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De conformidad con el decreto 1082 de 2015 en todo caso la verificación de los requisitos se hará exclusivamente en relación con el proponente con el precio más bajo para lo cual, se tendrán en cuenta las reglas de subsanabilidad establecidas en dicho decreto. En caso de que éste no cumpla con los mismos, procederá la verificación del proponente ubicado en segundo lugar y así sucesivamente. De no lograrse la habilitación, se declarará desierto el proceso.</w:t>
      </w:r>
    </w:p>
    <w:p w14:paraId="1BDEA04F"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6B8B723" w14:textId="77777777" w:rsidR="00572AD5" w:rsidRDefault="00000000" w:rsidP="002C6D1E">
      <w:pPr>
        <w:numPr>
          <w:ilvl w:val="1"/>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Factores de desempate</w:t>
      </w:r>
      <w:r>
        <w:rPr>
          <w:rFonts w:ascii="Arial" w:eastAsia="Arial" w:hAnsi="Arial" w:cs="Arial"/>
          <w:color w:val="000000"/>
          <w:sz w:val="22"/>
          <w:szCs w:val="22"/>
        </w:rPr>
        <w:t xml:space="preserve"> </w:t>
      </w:r>
    </w:p>
    <w:p w14:paraId="37569BA6"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09DF24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Entidad estatal debe seleccionar al oferente de conformidad con lo establecido en el artículo 35. Factores de Desempate, de la Ley 2069 de 2020, modificado por el Decreto 1860 de 2021.</w:t>
      </w:r>
    </w:p>
    <w:p w14:paraId="1664E98F"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860E34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acreditación de estos criterios se deberá hacer conforme a lo establecido 2.2.1.2.4.2.17 del decreto 1082 de 2015, modificado por el Decreto 1860 de 2021.</w:t>
      </w:r>
    </w:p>
    <w:p w14:paraId="77FBC37A"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087115D" w14:textId="77777777" w:rsidR="00572AD5" w:rsidRDefault="00000000" w:rsidP="002C6D1E">
      <w:pPr>
        <w:numPr>
          <w:ilvl w:val="0"/>
          <w:numId w:val="27"/>
        </w:num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b/>
          <w:color w:val="000000"/>
          <w:sz w:val="22"/>
          <w:szCs w:val="22"/>
        </w:rPr>
        <w:t xml:space="preserve">ANÁLISIS DE LOS RIESGOS Y SU MITIGACIÓN: </w:t>
      </w:r>
    </w:p>
    <w:p w14:paraId="28B1E1F2"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4B35CD7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entidad evaluará los Riesgos que el Proceso de Contratación representa para el cumplimiento de sus metas y objetivos e igualmente los riesgos que atañen al equilibrio económico del contrato así:</w:t>
      </w:r>
    </w:p>
    <w:p w14:paraId="6A1926AC" w14:textId="77777777" w:rsidR="00572AD5" w:rsidRDefault="00572AD5">
      <w:pPr>
        <w:spacing w:line="276" w:lineRule="auto"/>
        <w:jc w:val="both"/>
        <w:rPr>
          <w:rFonts w:ascii="Arial" w:eastAsia="Arial" w:hAnsi="Arial" w:cs="Arial"/>
          <w:sz w:val="22"/>
          <w:szCs w:val="22"/>
        </w:rPr>
      </w:pPr>
    </w:p>
    <w:tbl>
      <w:tblPr>
        <w:tblStyle w:val="af8"/>
        <w:tblW w:w="97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
        <w:gridCol w:w="296"/>
        <w:gridCol w:w="296"/>
        <w:gridCol w:w="298"/>
        <w:gridCol w:w="299"/>
        <w:gridCol w:w="741"/>
        <w:gridCol w:w="663"/>
        <w:gridCol w:w="297"/>
        <w:gridCol w:w="295"/>
        <w:gridCol w:w="295"/>
        <w:gridCol w:w="289"/>
        <w:gridCol w:w="289"/>
        <w:gridCol w:w="964"/>
        <w:gridCol w:w="289"/>
        <w:gridCol w:w="289"/>
        <w:gridCol w:w="289"/>
        <w:gridCol w:w="311"/>
        <w:gridCol w:w="289"/>
        <w:gridCol w:w="411"/>
        <w:gridCol w:w="506"/>
        <w:gridCol w:w="506"/>
        <w:gridCol w:w="600"/>
        <w:gridCol w:w="442"/>
        <w:gridCol w:w="524"/>
      </w:tblGrid>
      <w:tr w:rsidR="00572AD5" w14:paraId="0F92C1AA" w14:textId="77777777">
        <w:trPr>
          <w:trHeight w:val="129"/>
          <w:jc w:val="center"/>
        </w:trPr>
        <w:tc>
          <w:tcPr>
            <w:tcW w:w="296" w:type="dxa"/>
            <w:vMerge w:val="restart"/>
            <w:shd w:val="clear" w:color="auto" w:fill="8DB4E3"/>
            <w:vAlign w:val="center"/>
          </w:tcPr>
          <w:p w14:paraId="61ED94C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N°</w:t>
            </w:r>
          </w:p>
        </w:tc>
        <w:tc>
          <w:tcPr>
            <w:tcW w:w="296" w:type="dxa"/>
            <w:vMerge w:val="restart"/>
            <w:shd w:val="clear" w:color="auto" w:fill="8DB4E3"/>
            <w:vAlign w:val="center"/>
          </w:tcPr>
          <w:p w14:paraId="7270D57A"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 xml:space="preserve">CLASE </w:t>
            </w:r>
          </w:p>
        </w:tc>
        <w:tc>
          <w:tcPr>
            <w:tcW w:w="296" w:type="dxa"/>
            <w:vMerge w:val="restart"/>
            <w:shd w:val="clear" w:color="auto" w:fill="8DB4E3"/>
            <w:vAlign w:val="center"/>
          </w:tcPr>
          <w:p w14:paraId="6DBAA4F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FUENTE</w:t>
            </w:r>
          </w:p>
        </w:tc>
        <w:tc>
          <w:tcPr>
            <w:tcW w:w="298" w:type="dxa"/>
            <w:vMerge w:val="restart"/>
            <w:shd w:val="clear" w:color="auto" w:fill="8DB4E3"/>
            <w:vAlign w:val="center"/>
          </w:tcPr>
          <w:p w14:paraId="2C56F364"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ETAPA</w:t>
            </w:r>
          </w:p>
        </w:tc>
        <w:tc>
          <w:tcPr>
            <w:tcW w:w="299" w:type="dxa"/>
            <w:vMerge w:val="restart"/>
            <w:shd w:val="clear" w:color="auto" w:fill="8DB4E3"/>
            <w:vAlign w:val="center"/>
          </w:tcPr>
          <w:p w14:paraId="1EC4199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TIPO</w:t>
            </w:r>
          </w:p>
        </w:tc>
        <w:tc>
          <w:tcPr>
            <w:tcW w:w="741" w:type="dxa"/>
            <w:vMerge w:val="restart"/>
            <w:shd w:val="clear" w:color="auto" w:fill="8DB4E3"/>
            <w:vAlign w:val="center"/>
          </w:tcPr>
          <w:p w14:paraId="6415D28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DESCRIPCIÓN (QUE PUEDE PASAR O NO PUEDE OCURRIR</w:t>
            </w:r>
          </w:p>
        </w:tc>
        <w:tc>
          <w:tcPr>
            <w:tcW w:w="663" w:type="dxa"/>
            <w:vMerge w:val="restart"/>
            <w:shd w:val="clear" w:color="auto" w:fill="8DB4E3"/>
            <w:vAlign w:val="center"/>
          </w:tcPr>
          <w:p w14:paraId="343957E2"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CONSECUENCIA DE LA OCURRENCIA DEL EVENTO</w:t>
            </w:r>
          </w:p>
        </w:tc>
        <w:tc>
          <w:tcPr>
            <w:tcW w:w="297" w:type="dxa"/>
            <w:vMerge w:val="restart"/>
            <w:shd w:val="clear" w:color="auto" w:fill="8DB4E3"/>
            <w:vAlign w:val="center"/>
          </w:tcPr>
          <w:p w14:paraId="16ED5BB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PROBABILIDAD</w:t>
            </w:r>
          </w:p>
        </w:tc>
        <w:tc>
          <w:tcPr>
            <w:tcW w:w="295" w:type="dxa"/>
            <w:vMerge w:val="restart"/>
            <w:shd w:val="clear" w:color="auto" w:fill="8DB4E3"/>
            <w:vAlign w:val="center"/>
          </w:tcPr>
          <w:p w14:paraId="2AE40A18"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w:t>
            </w:r>
          </w:p>
        </w:tc>
        <w:tc>
          <w:tcPr>
            <w:tcW w:w="295" w:type="dxa"/>
            <w:vMerge w:val="restart"/>
            <w:shd w:val="clear" w:color="auto" w:fill="8DB4E3"/>
            <w:vAlign w:val="center"/>
          </w:tcPr>
          <w:p w14:paraId="0963FE4F"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VALORACION DEL RIESGO</w:t>
            </w:r>
          </w:p>
        </w:tc>
        <w:tc>
          <w:tcPr>
            <w:tcW w:w="289" w:type="dxa"/>
            <w:vMerge w:val="restart"/>
            <w:shd w:val="clear" w:color="auto" w:fill="8DB4E3"/>
            <w:vAlign w:val="center"/>
          </w:tcPr>
          <w:p w14:paraId="5C1FCA08"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CATEGORIA</w:t>
            </w:r>
          </w:p>
        </w:tc>
        <w:tc>
          <w:tcPr>
            <w:tcW w:w="289" w:type="dxa"/>
            <w:vMerge w:val="restart"/>
            <w:shd w:val="clear" w:color="auto" w:fill="8DB4E3"/>
            <w:vAlign w:val="center"/>
          </w:tcPr>
          <w:p w14:paraId="4A966AA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¿A QUIEN SE LE ASIGNA?</w:t>
            </w:r>
          </w:p>
        </w:tc>
        <w:tc>
          <w:tcPr>
            <w:tcW w:w="964" w:type="dxa"/>
            <w:vMerge w:val="restart"/>
            <w:shd w:val="clear" w:color="auto" w:fill="8DB4E3"/>
            <w:vAlign w:val="center"/>
          </w:tcPr>
          <w:p w14:paraId="07854E2D"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TRATAMIENTO / CONTROLES A SER IMPLEMENTADOS</w:t>
            </w:r>
          </w:p>
        </w:tc>
        <w:tc>
          <w:tcPr>
            <w:tcW w:w="1178" w:type="dxa"/>
            <w:gridSpan w:val="4"/>
            <w:shd w:val="clear" w:color="auto" w:fill="8DB4E3"/>
            <w:vAlign w:val="center"/>
          </w:tcPr>
          <w:p w14:paraId="2014C3DB"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 DESPUES DEL TRATAMIENTO</w:t>
            </w:r>
          </w:p>
        </w:tc>
        <w:tc>
          <w:tcPr>
            <w:tcW w:w="289" w:type="dxa"/>
            <w:vMerge w:val="restart"/>
            <w:shd w:val="clear" w:color="auto" w:fill="8DB4E3"/>
            <w:vAlign w:val="center"/>
          </w:tcPr>
          <w:p w14:paraId="57AA622D"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¿AFECTA LA EJECUCIÓN DE</w:t>
            </w:r>
            <w:r>
              <w:rPr>
                <w:rFonts w:ascii="Arial" w:eastAsia="Arial" w:hAnsi="Arial" w:cs="Arial"/>
                <w:b/>
                <w:color w:val="000000"/>
                <w:sz w:val="14"/>
                <w:szCs w:val="14"/>
              </w:rPr>
              <w:lastRenderedPageBreak/>
              <w:t>L CONTRATO?</w:t>
            </w:r>
          </w:p>
        </w:tc>
        <w:tc>
          <w:tcPr>
            <w:tcW w:w="411" w:type="dxa"/>
            <w:vMerge w:val="restart"/>
            <w:shd w:val="clear" w:color="auto" w:fill="8DB4E3"/>
            <w:vAlign w:val="center"/>
          </w:tcPr>
          <w:p w14:paraId="3E854C5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lastRenderedPageBreak/>
              <w:t>PERSONA RESPONSABLE POR IMPLEMENTAR EL TR</w:t>
            </w:r>
            <w:r>
              <w:rPr>
                <w:rFonts w:ascii="Arial" w:eastAsia="Arial" w:hAnsi="Arial" w:cs="Arial"/>
                <w:b/>
                <w:color w:val="000000"/>
                <w:sz w:val="14"/>
                <w:szCs w:val="14"/>
              </w:rPr>
              <w:lastRenderedPageBreak/>
              <w:t>ATAMIENTO</w:t>
            </w:r>
          </w:p>
        </w:tc>
        <w:tc>
          <w:tcPr>
            <w:tcW w:w="506" w:type="dxa"/>
            <w:shd w:val="clear" w:color="auto" w:fill="8DB4E3"/>
          </w:tcPr>
          <w:p w14:paraId="1ACE5FFA" w14:textId="77777777" w:rsidR="00572AD5" w:rsidRDefault="00572AD5">
            <w:pPr>
              <w:spacing w:line="276" w:lineRule="auto"/>
              <w:jc w:val="center"/>
              <w:rPr>
                <w:rFonts w:ascii="Arial" w:eastAsia="Arial" w:hAnsi="Arial" w:cs="Arial"/>
                <w:b/>
                <w:color w:val="000000"/>
                <w:sz w:val="14"/>
                <w:szCs w:val="14"/>
              </w:rPr>
            </w:pPr>
          </w:p>
        </w:tc>
        <w:tc>
          <w:tcPr>
            <w:tcW w:w="506" w:type="dxa"/>
            <w:vMerge w:val="restart"/>
            <w:shd w:val="clear" w:color="auto" w:fill="8DB4E3"/>
            <w:vAlign w:val="center"/>
          </w:tcPr>
          <w:p w14:paraId="7A44C06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FECHA ESTIMADA EN QUE SE INCIA EL TRATAMIENTO</w:t>
            </w:r>
          </w:p>
        </w:tc>
        <w:tc>
          <w:tcPr>
            <w:tcW w:w="600" w:type="dxa"/>
            <w:vMerge w:val="restart"/>
            <w:shd w:val="clear" w:color="auto" w:fill="8DB4E3"/>
            <w:vAlign w:val="center"/>
          </w:tcPr>
          <w:p w14:paraId="3A960D4E"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FECHA ESTIMADA EN QUE SE COMPLETA EL TRATAMIENTO</w:t>
            </w:r>
          </w:p>
        </w:tc>
        <w:tc>
          <w:tcPr>
            <w:tcW w:w="966" w:type="dxa"/>
            <w:gridSpan w:val="2"/>
            <w:shd w:val="clear" w:color="auto" w:fill="8DB4E3"/>
            <w:vAlign w:val="center"/>
          </w:tcPr>
          <w:p w14:paraId="298933BE"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MONITOREO Y REVISION</w:t>
            </w:r>
          </w:p>
        </w:tc>
      </w:tr>
      <w:tr w:rsidR="00572AD5" w14:paraId="68FF714D" w14:textId="77777777">
        <w:trPr>
          <w:trHeight w:val="1598"/>
          <w:jc w:val="center"/>
        </w:trPr>
        <w:tc>
          <w:tcPr>
            <w:tcW w:w="296" w:type="dxa"/>
            <w:vMerge/>
            <w:shd w:val="clear" w:color="auto" w:fill="8DB4E3"/>
            <w:vAlign w:val="center"/>
          </w:tcPr>
          <w:p w14:paraId="0C1C4EBC"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6" w:type="dxa"/>
            <w:vMerge/>
            <w:shd w:val="clear" w:color="auto" w:fill="8DB4E3"/>
            <w:vAlign w:val="center"/>
          </w:tcPr>
          <w:p w14:paraId="350529B6"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6" w:type="dxa"/>
            <w:vMerge/>
            <w:shd w:val="clear" w:color="auto" w:fill="8DB4E3"/>
            <w:vAlign w:val="center"/>
          </w:tcPr>
          <w:p w14:paraId="221DF36D"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8" w:type="dxa"/>
            <w:vMerge/>
            <w:shd w:val="clear" w:color="auto" w:fill="8DB4E3"/>
            <w:vAlign w:val="center"/>
          </w:tcPr>
          <w:p w14:paraId="72105AE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9" w:type="dxa"/>
            <w:vMerge/>
            <w:shd w:val="clear" w:color="auto" w:fill="8DB4E3"/>
            <w:vAlign w:val="center"/>
          </w:tcPr>
          <w:p w14:paraId="787D87D2"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41" w:type="dxa"/>
            <w:vMerge/>
            <w:shd w:val="clear" w:color="auto" w:fill="8DB4E3"/>
            <w:vAlign w:val="center"/>
          </w:tcPr>
          <w:p w14:paraId="02D06D04"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663" w:type="dxa"/>
            <w:vMerge/>
            <w:shd w:val="clear" w:color="auto" w:fill="8DB4E3"/>
            <w:vAlign w:val="center"/>
          </w:tcPr>
          <w:p w14:paraId="10F2F152"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7" w:type="dxa"/>
            <w:vMerge/>
            <w:shd w:val="clear" w:color="auto" w:fill="8DB4E3"/>
            <w:vAlign w:val="center"/>
          </w:tcPr>
          <w:p w14:paraId="5320997A"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5" w:type="dxa"/>
            <w:vMerge/>
            <w:shd w:val="clear" w:color="auto" w:fill="8DB4E3"/>
            <w:vAlign w:val="center"/>
          </w:tcPr>
          <w:p w14:paraId="24ACC120"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5" w:type="dxa"/>
            <w:vMerge/>
            <w:shd w:val="clear" w:color="auto" w:fill="8DB4E3"/>
            <w:vAlign w:val="center"/>
          </w:tcPr>
          <w:p w14:paraId="1279C05E"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vMerge/>
            <w:shd w:val="clear" w:color="auto" w:fill="8DB4E3"/>
            <w:vAlign w:val="center"/>
          </w:tcPr>
          <w:p w14:paraId="63D5A486"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vMerge/>
            <w:shd w:val="clear" w:color="auto" w:fill="8DB4E3"/>
            <w:vAlign w:val="center"/>
          </w:tcPr>
          <w:p w14:paraId="1615825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64" w:type="dxa"/>
            <w:vMerge/>
            <w:shd w:val="clear" w:color="auto" w:fill="8DB4E3"/>
            <w:vAlign w:val="center"/>
          </w:tcPr>
          <w:p w14:paraId="52373A3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shd w:val="clear" w:color="auto" w:fill="8DB4E3"/>
            <w:vAlign w:val="center"/>
          </w:tcPr>
          <w:p w14:paraId="2BC26485"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PROBABILIDAD</w:t>
            </w:r>
          </w:p>
        </w:tc>
        <w:tc>
          <w:tcPr>
            <w:tcW w:w="289" w:type="dxa"/>
            <w:shd w:val="clear" w:color="auto" w:fill="8DB4E3"/>
            <w:vAlign w:val="center"/>
          </w:tcPr>
          <w:p w14:paraId="5B970FCA"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w:t>
            </w:r>
          </w:p>
        </w:tc>
        <w:tc>
          <w:tcPr>
            <w:tcW w:w="289" w:type="dxa"/>
            <w:shd w:val="clear" w:color="auto" w:fill="8DB4E3"/>
            <w:vAlign w:val="center"/>
          </w:tcPr>
          <w:p w14:paraId="4D45B18B"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VALORACION DEL RIES</w:t>
            </w:r>
            <w:r>
              <w:rPr>
                <w:rFonts w:ascii="Arial" w:eastAsia="Arial" w:hAnsi="Arial" w:cs="Arial"/>
                <w:b/>
                <w:color w:val="000000"/>
                <w:sz w:val="14"/>
                <w:szCs w:val="14"/>
              </w:rPr>
              <w:lastRenderedPageBreak/>
              <w:t>GO</w:t>
            </w:r>
          </w:p>
        </w:tc>
        <w:tc>
          <w:tcPr>
            <w:tcW w:w="311" w:type="dxa"/>
            <w:shd w:val="clear" w:color="auto" w:fill="8DB4E3"/>
            <w:vAlign w:val="center"/>
          </w:tcPr>
          <w:p w14:paraId="05B8F05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lastRenderedPageBreak/>
              <w:t>CATEGORIA</w:t>
            </w:r>
          </w:p>
        </w:tc>
        <w:tc>
          <w:tcPr>
            <w:tcW w:w="289" w:type="dxa"/>
            <w:vMerge/>
            <w:shd w:val="clear" w:color="auto" w:fill="8DB4E3"/>
            <w:vAlign w:val="center"/>
          </w:tcPr>
          <w:p w14:paraId="22E856ED"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411" w:type="dxa"/>
            <w:vMerge/>
            <w:shd w:val="clear" w:color="auto" w:fill="8DB4E3"/>
            <w:vAlign w:val="center"/>
          </w:tcPr>
          <w:p w14:paraId="465B9378"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506" w:type="dxa"/>
          </w:tcPr>
          <w:p w14:paraId="42354679" w14:textId="77777777" w:rsidR="00572AD5" w:rsidRDefault="00572AD5">
            <w:pPr>
              <w:spacing w:line="276" w:lineRule="auto"/>
              <w:rPr>
                <w:rFonts w:ascii="Arial" w:eastAsia="Arial" w:hAnsi="Arial" w:cs="Arial"/>
                <w:b/>
                <w:color w:val="000000"/>
                <w:sz w:val="14"/>
                <w:szCs w:val="14"/>
              </w:rPr>
            </w:pPr>
          </w:p>
        </w:tc>
        <w:tc>
          <w:tcPr>
            <w:tcW w:w="506" w:type="dxa"/>
            <w:vMerge/>
            <w:shd w:val="clear" w:color="auto" w:fill="8DB4E3"/>
            <w:vAlign w:val="center"/>
          </w:tcPr>
          <w:p w14:paraId="10DD6EAB"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600" w:type="dxa"/>
            <w:vMerge/>
            <w:shd w:val="clear" w:color="auto" w:fill="8DB4E3"/>
            <w:vAlign w:val="center"/>
          </w:tcPr>
          <w:p w14:paraId="19EB6061"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442" w:type="dxa"/>
            <w:shd w:val="clear" w:color="auto" w:fill="8DB4E3"/>
            <w:vAlign w:val="center"/>
          </w:tcPr>
          <w:p w14:paraId="75DD1CF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¿COMO SE REALIZA EL MONITOREO?</w:t>
            </w:r>
          </w:p>
        </w:tc>
        <w:tc>
          <w:tcPr>
            <w:tcW w:w="524" w:type="dxa"/>
            <w:shd w:val="clear" w:color="auto" w:fill="8DB4E3"/>
            <w:vAlign w:val="center"/>
          </w:tcPr>
          <w:p w14:paraId="3EAC09C4"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PERIORICIDAD ¿CUÁNDO?</w:t>
            </w:r>
          </w:p>
        </w:tc>
      </w:tr>
      <w:tr w:rsidR="00572AD5" w14:paraId="23CFBE05" w14:textId="77777777">
        <w:trPr>
          <w:trHeight w:val="2689"/>
          <w:jc w:val="center"/>
        </w:trPr>
        <w:tc>
          <w:tcPr>
            <w:tcW w:w="296" w:type="dxa"/>
            <w:shd w:val="clear" w:color="auto" w:fill="auto"/>
            <w:vAlign w:val="center"/>
          </w:tcPr>
          <w:p w14:paraId="2AAA93A8"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1</w:t>
            </w:r>
          </w:p>
        </w:tc>
        <w:tc>
          <w:tcPr>
            <w:tcW w:w="296" w:type="dxa"/>
            <w:shd w:val="clear" w:color="auto" w:fill="auto"/>
            <w:vAlign w:val="center"/>
          </w:tcPr>
          <w:p w14:paraId="6CEF511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General</w:t>
            </w:r>
          </w:p>
        </w:tc>
        <w:tc>
          <w:tcPr>
            <w:tcW w:w="296" w:type="dxa"/>
            <w:shd w:val="clear" w:color="auto" w:fill="auto"/>
            <w:vAlign w:val="center"/>
          </w:tcPr>
          <w:p w14:paraId="3407075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0CB19E1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Selección</w:t>
            </w:r>
          </w:p>
        </w:tc>
        <w:tc>
          <w:tcPr>
            <w:tcW w:w="299" w:type="dxa"/>
            <w:shd w:val="clear" w:color="auto" w:fill="auto"/>
            <w:vAlign w:val="center"/>
          </w:tcPr>
          <w:p w14:paraId="150B0AD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Económico</w:t>
            </w:r>
          </w:p>
        </w:tc>
        <w:tc>
          <w:tcPr>
            <w:tcW w:w="741" w:type="dxa"/>
            <w:shd w:val="clear" w:color="auto" w:fill="auto"/>
            <w:vAlign w:val="center"/>
          </w:tcPr>
          <w:p w14:paraId="63AB80D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precios ofertados por   los proponentes sean considerados artificialmente bajos o no se ajusten a la realidad</w:t>
            </w:r>
          </w:p>
        </w:tc>
        <w:tc>
          <w:tcPr>
            <w:tcW w:w="663" w:type="dxa"/>
            <w:shd w:val="clear" w:color="auto" w:fill="auto"/>
            <w:vAlign w:val="center"/>
          </w:tcPr>
          <w:p w14:paraId="457AB4C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bienes solicitados no cumplan con la calidad esperada</w:t>
            </w:r>
          </w:p>
        </w:tc>
        <w:tc>
          <w:tcPr>
            <w:tcW w:w="297" w:type="dxa"/>
            <w:shd w:val="clear" w:color="auto" w:fill="auto"/>
            <w:vAlign w:val="center"/>
          </w:tcPr>
          <w:p w14:paraId="0F76667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4C45250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13AAD39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8</w:t>
            </w:r>
          </w:p>
        </w:tc>
        <w:tc>
          <w:tcPr>
            <w:tcW w:w="289" w:type="dxa"/>
            <w:shd w:val="clear" w:color="auto" w:fill="auto"/>
            <w:vAlign w:val="center"/>
          </w:tcPr>
          <w:p w14:paraId="1B8505D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extremo</w:t>
            </w:r>
          </w:p>
        </w:tc>
        <w:tc>
          <w:tcPr>
            <w:tcW w:w="289" w:type="dxa"/>
            <w:shd w:val="clear" w:color="auto" w:fill="auto"/>
            <w:vAlign w:val="center"/>
          </w:tcPr>
          <w:p w14:paraId="593E518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center"/>
          </w:tcPr>
          <w:p w14:paraId="46CAF0B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Requerir al contratista para que los elementos entregados y el servicio prestado sean   de la calidad esperada</w:t>
            </w:r>
          </w:p>
        </w:tc>
        <w:tc>
          <w:tcPr>
            <w:tcW w:w="289" w:type="dxa"/>
            <w:shd w:val="clear" w:color="auto" w:fill="auto"/>
            <w:vAlign w:val="center"/>
          </w:tcPr>
          <w:p w14:paraId="7280ED7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5724259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20C3B0E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311" w:type="dxa"/>
            <w:shd w:val="clear" w:color="auto" w:fill="auto"/>
            <w:vAlign w:val="center"/>
          </w:tcPr>
          <w:p w14:paraId="0E6688F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bajo</w:t>
            </w:r>
          </w:p>
        </w:tc>
        <w:tc>
          <w:tcPr>
            <w:tcW w:w="289" w:type="dxa"/>
            <w:shd w:val="clear" w:color="auto" w:fill="auto"/>
            <w:vAlign w:val="center"/>
          </w:tcPr>
          <w:p w14:paraId="0EA0B5D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466D7BC2"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Municipio</w:t>
            </w:r>
          </w:p>
        </w:tc>
        <w:tc>
          <w:tcPr>
            <w:tcW w:w="506" w:type="dxa"/>
          </w:tcPr>
          <w:p w14:paraId="71319C36"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1742C28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2 días hábiles después de   detectado     el riesgo</w:t>
            </w:r>
          </w:p>
        </w:tc>
        <w:tc>
          <w:tcPr>
            <w:tcW w:w="600" w:type="dxa"/>
            <w:shd w:val="clear" w:color="auto" w:fill="auto"/>
            <w:vAlign w:val="center"/>
          </w:tcPr>
          <w:p w14:paraId="772E434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 días después de detectado el riesgo</w:t>
            </w:r>
          </w:p>
        </w:tc>
        <w:tc>
          <w:tcPr>
            <w:tcW w:w="442" w:type="dxa"/>
            <w:shd w:val="clear" w:color="auto" w:fill="auto"/>
            <w:vAlign w:val="center"/>
          </w:tcPr>
          <w:p w14:paraId="44D90E5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Documentando las labores de     monitoreo realizadas por el contratista, de acuerdo    a los lineamientos de su supervisor</w:t>
            </w:r>
          </w:p>
        </w:tc>
        <w:tc>
          <w:tcPr>
            <w:tcW w:w="524" w:type="dxa"/>
            <w:shd w:val="clear" w:color="auto" w:fill="auto"/>
            <w:vAlign w:val="center"/>
          </w:tcPr>
          <w:p w14:paraId="56089F2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Mensualmente</w:t>
            </w:r>
          </w:p>
        </w:tc>
      </w:tr>
      <w:tr w:rsidR="00572AD5" w14:paraId="5B1B8716" w14:textId="77777777">
        <w:trPr>
          <w:trHeight w:val="2521"/>
          <w:jc w:val="center"/>
        </w:trPr>
        <w:tc>
          <w:tcPr>
            <w:tcW w:w="296" w:type="dxa"/>
            <w:shd w:val="clear" w:color="auto" w:fill="auto"/>
            <w:vAlign w:val="center"/>
          </w:tcPr>
          <w:p w14:paraId="73B98787"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2</w:t>
            </w:r>
          </w:p>
        </w:tc>
        <w:tc>
          <w:tcPr>
            <w:tcW w:w="296" w:type="dxa"/>
            <w:shd w:val="clear" w:color="auto" w:fill="auto"/>
            <w:vAlign w:val="center"/>
          </w:tcPr>
          <w:p w14:paraId="2F912B5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Especifico</w:t>
            </w:r>
          </w:p>
        </w:tc>
        <w:tc>
          <w:tcPr>
            <w:tcW w:w="296" w:type="dxa"/>
            <w:shd w:val="clear" w:color="auto" w:fill="auto"/>
            <w:vAlign w:val="center"/>
          </w:tcPr>
          <w:p w14:paraId="6F38BEF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6F03B89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Ejecución</w:t>
            </w:r>
          </w:p>
        </w:tc>
        <w:tc>
          <w:tcPr>
            <w:tcW w:w="299" w:type="dxa"/>
            <w:shd w:val="clear" w:color="auto" w:fill="auto"/>
            <w:vAlign w:val="center"/>
          </w:tcPr>
          <w:p w14:paraId="7CCD5A2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Operacional</w:t>
            </w:r>
          </w:p>
        </w:tc>
        <w:tc>
          <w:tcPr>
            <w:tcW w:w="741" w:type="dxa"/>
            <w:shd w:val="clear" w:color="auto" w:fill="auto"/>
            <w:vAlign w:val="center"/>
          </w:tcPr>
          <w:p w14:paraId="6D09BB7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el contratista no cumpla con los suministros y/o el servicio requerido en los tiempos solicitados</w:t>
            </w:r>
          </w:p>
        </w:tc>
        <w:tc>
          <w:tcPr>
            <w:tcW w:w="663" w:type="dxa"/>
            <w:shd w:val="clear" w:color="auto" w:fill="auto"/>
            <w:vAlign w:val="center"/>
          </w:tcPr>
          <w:p w14:paraId="296A21A5"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bienes solicitados y/o el servicio contratado no cumplan con la calidad esperada</w:t>
            </w:r>
          </w:p>
        </w:tc>
        <w:tc>
          <w:tcPr>
            <w:tcW w:w="297" w:type="dxa"/>
            <w:shd w:val="clear" w:color="auto" w:fill="auto"/>
            <w:vAlign w:val="center"/>
          </w:tcPr>
          <w:p w14:paraId="6799873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295" w:type="dxa"/>
            <w:shd w:val="clear" w:color="auto" w:fill="auto"/>
            <w:vAlign w:val="center"/>
          </w:tcPr>
          <w:p w14:paraId="07E42AE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574DEFE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w:t>
            </w:r>
          </w:p>
        </w:tc>
        <w:tc>
          <w:tcPr>
            <w:tcW w:w="289" w:type="dxa"/>
            <w:shd w:val="clear" w:color="auto" w:fill="auto"/>
            <w:vAlign w:val="center"/>
          </w:tcPr>
          <w:p w14:paraId="63F9358D"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alto</w:t>
            </w:r>
          </w:p>
        </w:tc>
        <w:tc>
          <w:tcPr>
            <w:tcW w:w="289" w:type="dxa"/>
            <w:shd w:val="clear" w:color="auto" w:fill="auto"/>
            <w:vAlign w:val="center"/>
          </w:tcPr>
          <w:p w14:paraId="6A884AB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center"/>
          </w:tcPr>
          <w:p w14:paraId="09A86A2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el supervisor requiera de ser necesario al contratista para establecer unos tiempos prudentes para la entrega del suministro y/o la mejora de la prestación del servicio solicitado</w:t>
            </w:r>
          </w:p>
        </w:tc>
        <w:tc>
          <w:tcPr>
            <w:tcW w:w="289" w:type="dxa"/>
            <w:shd w:val="clear" w:color="auto" w:fill="auto"/>
            <w:vAlign w:val="center"/>
          </w:tcPr>
          <w:p w14:paraId="1CFC9802"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21604FA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289" w:type="dxa"/>
            <w:shd w:val="clear" w:color="auto" w:fill="auto"/>
            <w:vAlign w:val="center"/>
          </w:tcPr>
          <w:p w14:paraId="06DCAC1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5</w:t>
            </w:r>
          </w:p>
        </w:tc>
        <w:tc>
          <w:tcPr>
            <w:tcW w:w="311" w:type="dxa"/>
            <w:shd w:val="clear" w:color="auto" w:fill="auto"/>
            <w:vAlign w:val="center"/>
          </w:tcPr>
          <w:p w14:paraId="5AC2897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medio</w:t>
            </w:r>
          </w:p>
        </w:tc>
        <w:tc>
          <w:tcPr>
            <w:tcW w:w="289" w:type="dxa"/>
            <w:shd w:val="clear" w:color="auto" w:fill="auto"/>
            <w:vAlign w:val="center"/>
          </w:tcPr>
          <w:p w14:paraId="7421041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31A66FA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506" w:type="dxa"/>
          </w:tcPr>
          <w:p w14:paraId="5915FADC"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3B45B5A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5 días calendario después de detectado el riesgo</w:t>
            </w:r>
          </w:p>
        </w:tc>
        <w:tc>
          <w:tcPr>
            <w:tcW w:w="600" w:type="dxa"/>
            <w:shd w:val="clear" w:color="auto" w:fill="auto"/>
            <w:vAlign w:val="center"/>
          </w:tcPr>
          <w:p w14:paraId="7C57429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 días calendario después de detectado el riesgo</w:t>
            </w:r>
          </w:p>
        </w:tc>
        <w:tc>
          <w:tcPr>
            <w:tcW w:w="442" w:type="dxa"/>
            <w:shd w:val="clear" w:color="auto" w:fill="auto"/>
            <w:vAlign w:val="center"/>
          </w:tcPr>
          <w:p w14:paraId="3AA2F3D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Documentando las labores de monitoreo por parte de la interventoría, de acu</w:t>
            </w:r>
            <w:r>
              <w:rPr>
                <w:rFonts w:ascii="Arial" w:eastAsia="Arial" w:hAnsi="Arial" w:cs="Arial"/>
                <w:color w:val="000000"/>
                <w:sz w:val="15"/>
                <w:szCs w:val="15"/>
              </w:rPr>
              <w:lastRenderedPageBreak/>
              <w:t>erdo   a los lineamientos de su supervisor</w:t>
            </w:r>
          </w:p>
        </w:tc>
        <w:tc>
          <w:tcPr>
            <w:tcW w:w="524" w:type="dxa"/>
            <w:shd w:val="clear" w:color="auto" w:fill="auto"/>
            <w:vAlign w:val="center"/>
          </w:tcPr>
          <w:p w14:paraId="1871A6D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lastRenderedPageBreak/>
              <w:t>Mensualmente</w:t>
            </w:r>
          </w:p>
        </w:tc>
      </w:tr>
      <w:tr w:rsidR="00572AD5" w14:paraId="4A4C2B99" w14:textId="77777777">
        <w:trPr>
          <w:trHeight w:val="2674"/>
          <w:jc w:val="center"/>
        </w:trPr>
        <w:tc>
          <w:tcPr>
            <w:tcW w:w="296" w:type="dxa"/>
            <w:shd w:val="clear" w:color="auto" w:fill="auto"/>
            <w:vAlign w:val="center"/>
          </w:tcPr>
          <w:p w14:paraId="4A1A3B2C"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3</w:t>
            </w:r>
          </w:p>
        </w:tc>
        <w:tc>
          <w:tcPr>
            <w:tcW w:w="296" w:type="dxa"/>
            <w:shd w:val="clear" w:color="auto" w:fill="auto"/>
            <w:vAlign w:val="center"/>
          </w:tcPr>
          <w:p w14:paraId="6B5CDB3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Especifico</w:t>
            </w:r>
          </w:p>
        </w:tc>
        <w:tc>
          <w:tcPr>
            <w:tcW w:w="296" w:type="dxa"/>
            <w:shd w:val="clear" w:color="auto" w:fill="auto"/>
            <w:vAlign w:val="center"/>
          </w:tcPr>
          <w:p w14:paraId="64523A0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4188D3D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Ejecución</w:t>
            </w:r>
          </w:p>
        </w:tc>
        <w:tc>
          <w:tcPr>
            <w:tcW w:w="299" w:type="dxa"/>
            <w:shd w:val="clear" w:color="auto" w:fill="auto"/>
            <w:vAlign w:val="center"/>
          </w:tcPr>
          <w:p w14:paraId="3932D86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Económico</w:t>
            </w:r>
          </w:p>
        </w:tc>
        <w:tc>
          <w:tcPr>
            <w:tcW w:w="741" w:type="dxa"/>
            <w:shd w:val="clear" w:color="auto" w:fill="auto"/>
            <w:vAlign w:val="center"/>
          </w:tcPr>
          <w:p w14:paraId="6EA4112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Fluctuación de los precios de los insumos o variación de la tabla de honorarios y/o salarios que establezca el gobierno nacional, desabastecimiento y especulación de los mismos, entre otros</w:t>
            </w:r>
          </w:p>
        </w:tc>
        <w:tc>
          <w:tcPr>
            <w:tcW w:w="663" w:type="dxa"/>
            <w:shd w:val="clear" w:color="auto" w:fill="auto"/>
            <w:vAlign w:val="center"/>
          </w:tcPr>
          <w:p w14:paraId="2733C29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el contratista no cumpla con la ejecución del contrato por el incremento de los costos en los suministros o servicios prestados contratados</w:t>
            </w:r>
          </w:p>
        </w:tc>
        <w:tc>
          <w:tcPr>
            <w:tcW w:w="297" w:type="dxa"/>
            <w:shd w:val="clear" w:color="auto" w:fill="auto"/>
            <w:vAlign w:val="center"/>
          </w:tcPr>
          <w:p w14:paraId="07BBF8A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295" w:type="dxa"/>
            <w:shd w:val="clear" w:color="auto" w:fill="auto"/>
            <w:vAlign w:val="center"/>
          </w:tcPr>
          <w:p w14:paraId="513E556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5F5E9E7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w:t>
            </w:r>
          </w:p>
        </w:tc>
        <w:tc>
          <w:tcPr>
            <w:tcW w:w="289" w:type="dxa"/>
            <w:shd w:val="clear" w:color="auto" w:fill="auto"/>
            <w:vAlign w:val="center"/>
          </w:tcPr>
          <w:p w14:paraId="4BF128F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alto</w:t>
            </w:r>
          </w:p>
        </w:tc>
        <w:tc>
          <w:tcPr>
            <w:tcW w:w="289" w:type="dxa"/>
            <w:shd w:val="clear" w:color="auto" w:fill="auto"/>
            <w:vAlign w:val="center"/>
          </w:tcPr>
          <w:p w14:paraId="7DBD9CB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bottom"/>
          </w:tcPr>
          <w:p w14:paraId="6E32048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Hacer exigible al contratista la vigencia de la oferta presentada y la vigencia del contrato que se suscribió</w:t>
            </w:r>
          </w:p>
        </w:tc>
        <w:tc>
          <w:tcPr>
            <w:tcW w:w="289" w:type="dxa"/>
            <w:shd w:val="clear" w:color="auto" w:fill="auto"/>
            <w:vAlign w:val="center"/>
          </w:tcPr>
          <w:p w14:paraId="0FE4863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1</w:t>
            </w:r>
          </w:p>
        </w:tc>
        <w:tc>
          <w:tcPr>
            <w:tcW w:w="289" w:type="dxa"/>
            <w:shd w:val="clear" w:color="auto" w:fill="auto"/>
            <w:vAlign w:val="center"/>
          </w:tcPr>
          <w:p w14:paraId="4CFC9C8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120CDC2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311" w:type="dxa"/>
            <w:shd w:val="clear" w:color="auto" w:fill="auto"/>
            <w:vAlign w:val="center"/>
          </w:tcPr>
          <w:p w14:paraId="12659A9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bajo</w:t>
            </w:r>
          </w:p>
        </w:tc>
        <w:tc>
          <w:tcPr>
            <w:tcW w:w="289" w:type="dxa"/>
            <w:shd w:val="clear" w:color="auto" w:fill="auto"/>
            <w:vAlign w:val="center"/>
          </w:tcPr>
          <w:p w14:paraId="5EE9041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2C5014F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Municipio</w:t>
            </w:r>
          </w:p>
        </w:tc>
        <w:tc>
          <w:tcPr>
            <w:tcW w:w="506" w:type="dxa"/>
          </w:tcPr>
          <w:p w14:paraId="174143AA"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3DCD94D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2 días hábiles después de detectado el riesgo</w:t>
            </w:r>
          </w:p>
        </w:tc>
        <w:tc>
          <w:tcPr>
            <w:tcW w:w="600" w:type="dxa"/>
            <w:shd w:val="clear" w:color="auto" w:fill="auto"/>
            <w:vAlign w:val="center"/>
          </w:tcPr>
          <w:p w14:paraId="12D4E6C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 días después de detectado el riesgo</w:t>
            </w:r>
          </w:p>
        </w:tc>
        <w:tc>
          <w:tcPr>
            <w:tcW w:w="442" w:type="dxa"/>
            <w:shd w:val="clear" w:color="auto" w:fill="auto"/>
            <w:vAlign w:val="center"/>
          </w:tcPr>
          <w:p w14:paraId="0CA57FB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El contratista asumirá por su propia cuenta el costo de   las variaciones e incrementos que afecten la actividad     del contrato</w:t>
            </w:r>
          </w:p>
        </w:tc>
        <w:tc>
          <w:tcPr>
            <w:tcW w:w="524" w:type="dxa"/>
            <w:shd w:val="clear" w:color="auto" w:fill="auto"/>
            <w:vAlign w:val="center"/>
          </w:tcPr>
          <w:p w14:paraId="44213DC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Mensualmente</w:t>
            </w:r>
          </w:p>
        </w:tc>
      </w:tr>
    </w:tbl>
    <w:p w14:paraId="673175C7"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6F805464"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29327F42" w14:textId="77777777" w:rsidR="00572AD5" w:rsidRDefault="00000000" w:rsidP="002C6D1E">
      <w:pPr>
        <w:numPr>
          <w:ilvl w:val="0"/>
          <w:numId w:val="27"/>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MECANISMOS DE COBERTURA QUE GARANTIZAN LAS OBLIGACIONES SURGIDAS CON OCASIÓN DEL CONTRATO A CELEBRAR:</w:t>
      </w:r>
    </w:p>
    <w:p w14:paraId="1148D56E"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32309742"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color w:val="000000"/>
          <w:sz w:val="22"/>
          <w:szCs w:val="22"/>
        </w:rPr>
        <w:t>En cumplimiento de lo establecido en la normatividad vigente, los riesgos que corre el SENA en el desarrollo del contrato se pueden amparar así:</w:t>
      </w:r>
    </w:p>
    <w:p w14:paraId="0D277E98" w14:textId="77777777" w:rsidR="00572AD5" w:rsidRDefault="00572AD5">
      <w:pPr>
        <w:ind w:firstLine="708"/>
        <w:jc w:val="both"/>
        <w:rPr>
          <w:rFonts w:ascii="Arial" w:eastAsia="Arial" w:hAnsi="Arial" w:cs="Arial"/>
        </w:rPr>
      </w:pPr>
    </w:p>
    <w:p w14:paraId="3F3048DD" w14:textId="77777777" w:rsidR="00572AD5" w:rsidRDefault="00000000">
      <w:pPr>
        <w:ind w:right="9"/>
        <w:jc w:val="both"/>
        <w:rPr>
          <w:rFonts w:ascii="Arial" w:eastAsia="Arial" w:hAnsi="Arial" w:cs="Arial"/>
          <w:sz w:val="22"/>
          <w:szCs w:val="22"/>
        </w:rPr>
      </w:pPr>
      <w:r>
        <w:rPr>
          <w:rFonts w:ascii="Arial" w:eastAsia="Arial" w:hAnsi="Arial" w:cs="Arial"/>
          <w:sz w:val="22"/>
          <w:szCs w:val="22"/>
        </w:rPr>
        <w:t xml:space="preserve">Garantía Única: Para el acto contractual a realizar, en cumplimiento de lo dispuesto en el numeral 19 del artículo 25 de la Ley 80 de 1993, el CONTRATISTA se obliga a constituir dentro de los tres (3) días siguientes a la suscripción del contrato a favor del SERVICIO NACIONAL DE APRENDIZAJE -SENA, mediante cualquiera de los mecanismos de </w:t>
      </w:r>
      <w:r>
        <w:rPr>
          <w:rFonts w:ascii="Arial" w:eastAsia="Arial" w:hAnsi="Arial" w:cs="Arial"/>
          <w:sz w:val="22"/>
          <w:szCs w:val="22"/>
        </w:rPr>
        <w:lastRenderedPageBreak/>
        <w:t xml:space="preserve">cobertura del riesgo contemplados en el Decreto 1082 de 2015, en cuanto a las obligaciones surgidas del Contrato así: </w:t>
      </w:r>
    </w:p>
    <w:p w14:paraId="3A68103D" w14:textId="77777777" w:rsidR="00572AD5" w:rsidRDefault="00572AD5">
      <w:pPr>
        <w:ind w:right="9"/>
        <w:jc w:val="both"/>
        <w:rPr>
          <w:rFonts w:ascii="Arial" w:eastAsia="Arial" w:hAnsi="Arial" w:cs="Arial"/>
          <w:sz w:val="22"/>
          <w:szCs w:val="22"/>
        </w:rPr>
      </w:pPr>
    </w:p>
    <w:p w14:paraId="4543D8B7" w14:textId="77777777" w:rsidR="00572AD5" w:rsidRDefault="00000000">
      <w:pPr>
        <w:ind w:right="9"/>
        <w:jc w:val="both"/>
        <w:rPr>
          <w:rFonts w:ascii="Arial" w:eastAsia="Arial" w:hAnsi="Arial" w:cs="Arial"/>
          <w:sz w:val="22"/>
          <w:szCs w:val="22"/>
        </w:rPr>
      </w:pPr>
      <w:r>
        <w:rPr>
          <w:rFonts w:ascii="Arial" w:eastAsia="Arial" w:hAnsi="Arial" w:cs="Arial"/>
          <w:b/>
          <w:sz w:val="22"/>
          <w:szCs w:val="22"/>
        </w:rPr>
        <w:t>a. Cumplimiento del Contrato:</w:t>
      </w:r>
      <w:r>
        <w:rPr>
          <w:rFonts w:ascii="Arial" w:eastAsia="Arial" w:hAnsi="Arial" w:cs="Arial"/>
          <w:sz w:val="22"/>
          <w:szCs w:val="22"/>
        </w:rPr>
        <w:t xml:space="preserve"> Por una suma equivalente al diez por ciento (10%) del valor del contrato con una vigencia igual al plazo del contrato y cuatro (4) meses más a partir de la expedición de la póliza. </w:t>
      </w:r>
    </w:p>
    <w:p w14:paraId="56DDB52D" w14:textId="77777777" w:rsidR="00572AD5" w:rsidRDefault="00572AD5">
      <w:pPr>
        <w:ind w:right="9"/>
        <w:jc w:val="both"/>
        <w:rPr>
          <w:rFonts w:ascii="Arial" w:eastAsia="Arial" w:hAnsi="Arial" w:cs="Arial"/>
          <w:b/>
          <w:sz w:val="22"/>
          <w:szCs w:val="22"/>
        </w:rPr>
      </w:pPr>
    </w:p>
    <w:p w14:paraId="127C713E" w14:textId="77777777" w:rsidR="00572AD5" w:rsidRDefault="00000000">
      <w:pPr>
        <w:ind w:right="9"/>
        <w:jc w:val="both"/>
        <w:rPr>
          <w:rFonts w:ascii="Arial" w:eastAsia="Arial" w:hAnsi="Arial" w:cs="Arial"/>
          <w:b/>
          <w:sz w:val="22"/>
          <w:szCs w:val="22"/>
        </w:rPr>
      </w:pPr>
      <w:r>
        <w:rPr>
          <w:rFonts w:ascii="Arial" w:eastAsia="Arial" w:hAnsi="Arial" w:cs="Arial"/>
          <w:b/>
          <w:sz w:val="22"/>
          <w:szCs w:val="22"/>
        </w:rPr>
        <w:t>b. Calidad de los bienes:</w:t>
      </w:r>
      <w:r>
        <w:rPr>
          <w:rFonts w:ascii="Arial" w:eastAsia="Arial" w:hAnsi="Arial" w:cs="Arial"/>
          <w:sz w:val="22"/>
          <w:szCs w:val="22"/>
        </w:rPr>
        <w:t xml:space="preserve"> Por una suma equivalente al diez por ciento (10%) del valor del contrato con una vigencia igual al plazo del contrato y cuatro (4) meses más a partir de la expedición de la póliza.</w:t>
      </w:r>
    </w:p>
    <w:p w14:paraId="4B110E98" w14:textId="77777777" w:rsidR="00572AD5" w:rsidRDefault="00572AD5">
      <w:pPr>
        <w:ind w:right="9"/>
        <w:jc w:val="both"/>
        <w:rPr>
          <w:rFonts w:ascii="Arial" w:eastAsia="Arial" w:hAnsi="Arial" w:cs="Arial"/>
          <w:b/>
          <w:sz w:val="22"/>
          <w:szCs w:val="22"/>
        </w:rPr>
      </w:pPr>
    </w:p>
    <w:p w14:paraId="6869CA76" w14:textId="77777777" w:rsidR="00572AD5" w:rsidRDefault="00000000">
      <w:pPr>
        <w:pBdr>
          <w:top w:val="nil"/>
          <w:left w:val="nil"/>
          <w:bottom w:val="nil"/>
          <w:right w:val="nil"/>
          <w:between w:val="nil"/>
        </w:pBdr>
        <w:tabs>
          <w:tab w:val="left" w:pos="2820"/>
        </w:tabs>
        <w:jc w:val="both"/>
        <w:rPr>
          <w:rFonts w:ascii="Arial" w:eastAsia="Arial" w:hAnsi="Arial" w:cs="Arial"/>
          <w:color w:val="000000"/>
          <w:sz w:val="22"/>
          <w:szCs w:val="22"/>
        </w:rPr>
      </w:pPr>
      <w:r>
        <w:rPr>
          <w:rFonts w:ascii="Arial" w:eastAsia="Arial" w:hAnsi="Arial" w:cs="Arial"/>
          <w:color w:val="000000"/>
          <w:sz w:val="22"/>
          <w:szCs w:val="22"/>
        </w:rPr>
        <w:t>En todo caso las garantías y sus efectos se regirán por lo establecido en el Decreto 1082 de 2015.</w:t>
      </w:r>
    </w:p>
    <w:p w14:paraId="3D890AA0" w14:textId="77777777" w:rsidR="00572AD5" w:rsidRDefault="00572AD5">
      <w:pPr>
        <w:pBdr>
          <w:top w:val="nil"/>
          <w:left w:val="nil"/>
          <w:bottom w:val="nil"/>
          <w:right w:val="nil"/>
          <w:between w:val="nil"/>
        </w:pBdr>
        <w:tabs>
          <w:tab w:val="left" w:pos="2820"/>
        </w:tabs>
        <w:jc w:val="both"/>
        <w:rPr>
          <w:rFonts w:ascii="Arial" w:eastAsia="Arial" w:hAnsi="Arial" w:cs="Arial"/>
          <w:color w:val="000000"/>
          <w:sz w:val="22"/>
          <w:szCs w:val="22"/>
        </w:rPr>
      </w:pPr>
    </w:p>
    <w:p w14:paraId="4D697C55" w14:textId="77777777" w:rsidR="00572AD5" w:rsidRDefault="00000000" w:rsidP="002C6D1E">
      <w:pPr>
        <w:numPr>
          <w:ilvl w:val="0"/>
          <w:numId w:val="27"/>
        </w:numPr>
        <w:pBdr>
          <w:top w:val="nil"/>
          <w:left w:val="nil"/>
          <w:bottom w:val="nil"/>
          <w:right w:val="nil"/>
          <w:between w:val="nil"/>
        </w:pBdr>
        <w:ind w:left="-142"/>
        <w:jc w:val="both"/>
        <w:rPr>
          <w:rFonts w:ascii="Arial" w:eastAsia="Arial" w:hAnsi="Arial" w:cs="Arial"/>
          <w:b/>
          <w:color w:val="000000"/>
          <w:sz w:val="22"/>
          <w:szCs w:val="22"/>
          <w:highlight w:val="white"/>
        </w:rPr>
      </w:pPr>
      <w:r>
        <w:rPr>
          <w:rFonts w:ascii="Arial" w:eastAsia="Arial" w:hAnsi="Arial" w:cs="Arial"/>
          <w:b/>
          <w:color w:val="000000"/>
          <w:sz w:val="22"/>
          <w:szCs w:val="22"/>
          <w:highlight w:val="white"/>
        </w:rPr>
        <w:t>ACUERDOS COMERCIALES</w:t>
      </w:r>
    </w:p>
    <w:p w14:paraId="62D3AB68" w14:textId="77777777" w:rsidR="00572AD5" w:rsidRDefault="00572AD5">
      <w:pPr>
        <w:widowControl w:val="0"/>
        <w:pBdr>
          <w:top w:val="nil"/>
          <w:left w:val="nil"/>
          <w:bottom w:val="nil"/>
          <w:right w:val="nil"/>
          <w:between w:val="nil"/>
        </w:pBdr>
        <w:tabs>
          <w:tab w:val="left" w:pos="1290"/>
        </w:tabs>
        <w:ind w:right="9"/>
        <w:jc w:val="both"/>
        <w:rPr>
          <w:rFonts w:ascii="Arial" w:eastAsia="Arial" w:hAnsi="Arial" w:cs="Arial"/>
          <w:color w:val="000000"/>
          <w:sz w:val="22"/>
          <w:szCs w:val="22"/>
          <w:highlight w:val="white"/>
        </w:rPr>
      </w:pPr>
    </w:p>
    <w:p w14:paraId="6D63AF83" w14:textId="77777777" w:rsidR="00572AD5" w:rsidRDefault="00000000">
      <w:pPr>
        <w:widowControl w:val="0"/>
        <w:pBdr>
          <w:top w:val="nil"/>
          <w:left w:val="nil"/>
          <w:bottom w:val="nil"/>
          <w:right w:val="nil"/>
          <w:between w:val="nil"/>
        </w:pBdr>
        <w:ind w:right="9"/>
        <w:jc w:val="both"/>
        <w:rPr>
          <w:rFonts w:ascii="Arial" w:eastAsia="Arial" w:hAnsi="Arial" w:cs="Arial"/>
          <w:color w:val="000000"/>
          <w:sz w:val="22"/>
          <w:szCs w:val="22"/>
        </w:rPr>
      </w:pPr>
      <w:r>
        <w:rPr>
          <w:rFonts w:ascii="Arial" w:eastAsia="Arial" w:hAnsi="Arial" w:cs="Arial"/>
          <w:color w:val="000000"/>
          <w:sz w:val="22"/>
          <w:szCs w:val="22"/>
        </w:rPr>
        <w:t>La Entidad menciona que la presente contratación NO se encuentra cobijada por Acuerdo Internacional o un Tratado de Libre Comercio vigente para el Estado Colombiano en los términos del Decreto 1082 de 2015.</w:t>
      </w:r>
    </w:p>
    <w:p w14:paraId="245122A9" w14:textId="77777777" w:rsidR="00572AD5" w:rsidRDefault="00572AD5">
      <w:pPr>
        <w:ind w:right="9"/>
        <w:jc w:val="both"/>
        <w:rPr>
          <w:rFonts w:ascii="Arial" w:eastAsia="Arial" w:hAnsi="Arial" w:cs="Arial"/>
          <w:b/>
          <w:sz w:val="22"/>
          <w:szCs w:val="22"/>
        </w:rPr>
      </w:pPr>
    </w:p>
    <w:p w14:paraId="0912CEBB" w14:textId="77777777" w:rsidR="00156B7B" w:rsidRDefault="00156B7B">
      <w:pPr>
        <w:ind w:right="9"/>
        <w:jc w:val="both"/>
        <w:rPr>
          <w:rFonts w:ascii="Arial" w:eastAsia="Arial" w:hAnsi="Arial" w:cs="Arial"/>
          <w:b/>
          <w:sz w:val="22"/>
          <w:szCs w:val="22"/>
        </w:rPr>
      </w:pPr>
    </w:p>
    <w:p w14:paraId="57AB80CA" w14:textId="77777777" w:rsidR="00572AD5" w:rsidRDefault="00000000" w:rsidP="002C6D1E">
      <w:pPr>
        <w:numPr>
          <w:ilvl w:val="0"/>
          <w:numId w:val="27"/>
        </w:num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b/>
          <w:color w:val="000000"/>
          <w:sz w:val="22"/>
          <w:szCs w:val="22"/>
        </w:rPr>
        <w:t xml:space="preserve">SUPERVISIÓN: </w:t>
      </w:r>
    </w:p>
    <w:p w14:paraId="6978A597"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4757463" w14:textId="77777777" w:rsidR="00572AD5" w:rsidRDefault="00000000">
      <w:pPr>
        <w:jc w:val="both"/>
        <w:rPr>
          <w:rFonts w:ascii="Arial" w:eastAsia="Arial" w:hAnsi="Arial" w:cs="Arial"/>
          <w:sz w:val="22"/>
          <w:szCs w:val="22"/>
        </w:rPr>
      </w:pPr>
      <w:r>
        <w:rPr>
          <w:rFonts w:ascii="Arial" w:eastAsia="Arial" w:hAnsi="Arial" w:cs="Arial"/>
          <w:sz w:val="22"/>
          <w:szCs w:val="22"/>
        </w:rPr>
        <w:t>La supervisión del presente contrato será ejercida por el funcionario</w:t>
      </w:r>
      <w:r>
        <w:rPr>
          <w:rFonts w:ascii="Arial" w:eastAsia="Arial" w:hAnsi="Arial" w:cs="Arial"/>
          <w:b/>
          <w:sz w:val="22"/>
          <w:szCs w:val="22"/>
        </w:rPr>
        <w:t xml:space="preserve"> </w:t>
      </w:r>
      <w:r>
        <w:rPr>
          <w:rFonts w:ascii="Arial" w:eastAsia="Arial" w:hAnsi="Arial" w:cs="Arial"/>
          <w:sz w:val="22"/>
          <w:szCs w:val="22"/>
        </w:rPr>
        <w:t xml:space="preserve">que designe el subdirector, las actividades que desarrollará el supervisor del contrato serán las descritas en la Resolución del SENA No. 202 de 2014, por la cual se adopta el Manual de Supervisión e Interventoría.   </w:t>
      </w:r>
    </w:p>
    <w:p w14:paraId="38FECE56" w14:textId="77777777" w:rsidR="00572AD5" w:rsidRDefault="00572AD5">
      <w:pPr>
        <w:tabs>
          <w:tab w:val="left" w:pos="0"/>
          <w:tab w:val="left" w:pos="284"/>
        </w:tabs>
        <w:spacing w:line="276" w:lineRule="auto"/>
        <w:jc w:val="both"/>
        <w:rPr>
          <w:rFonts w:ascii="Arial" w:eastAsia="Arial" w:hAnsi="Arial" w:cs="Arial"/>
        </w:rPr>
      </w:pPr>
    </w:p>
    <w:p w14:paraId="223E80F3" w14:textId="77777777" w:rsidR="00572AD5" w:rsidRDefault="00000000">
      <w:pPr>
        <w:tabs>
          <w:tab w:val="left" w:pos="0"/>
          <w:tab w:val="left" w:pos="284"/>
        </w:tabs>
        <w:spacing w:line="276" w:lineRule="auto"/>
        <w:jc w:val="both"/>
        <w:rPr>
          <w:rFonts w:ascii="Arial" w:eastAsia="Arial" w:hAnsi="Arial" w:cs="Arial"/>
        </w:rPr>
      </w:pPr>
      <w:r>
        <w:rPr>
          <w:rFonts w:ascii="Arial" w:eastAsia="Arial" w:hAnsi="Arial" w:cs="Arial"/>
        </w:rPr>
        <w:t>Dado en el Espinal, en el mes de julio de 2025.</w:t>
      </w:r>
    </w:p>
    <w:p w14:paraId="52E5BD99" w14:textId="77777777" w:rsidR="00572AD5" w:rsidRDefault="00572AD5">
      <w:pPr>
        <w:jc w:val="both"/>
        <w:rPr>
          <w:rFonts w:ascii="Arial" w:eastAsia="Arial" w:hAnsi="Arial" w:cs="Arial"/>
          <w:sz w:val="22"/>
          <w:szCs w:val="22"/>
        </w:rPr>
      </w:pPr>
    </w:p>
    <w:p w14:paraId="52A76FD2" w14:textId="77777777" w:rsidR="00572AD5" w:rsidRDefault="00000000">
      <w:pPr>
        <w:jc w:val="both"/>
        <w:rPr>
          <w:rFonts w:ascii="Arial" w:eastAsia="Arial" w:hAnsi="Arial" w:cs="Arial"/>
          <w:sz w:val="22"/>
          <w:szCs w:val="22"/>
        </w:rPr>
      </w:pPr>
      <w:r>
        <w:rPr>
          <w:rFonts w:ascii="Arial" w:eastAsia="Arial" w:hAnsi="Arial" w:cs="Arial"/>
          <w:sz w:val="22"/>
          <w:szCs w:val="22"/>
        </w:rPr>
        <w:t>Cordialmente,</w:t>
      </w:r>
    </w:p>
    <w:p w14:paraId="7C79B1F0" w14:textId="77777777" w:rsidR="00572AD5" w:rsidRDefault="00572AD5">
      <w:pPr>
        <w:jc w:val="both"/>
        <w:rPr>
          <w:rFonts w:ascii="Arial" w:eastAsia="Arial" w:hAnsi="Arial" w:cs="Arial"/>
          <w:sz w:val="22"/>
          <w:szCs w:val="22"/>
        </w:rPr>
      </w:pPr>
    </w:p>
    <w:p w14:paraId="63AC3E8B" w14:textId="77777777" w:rsidR="00572AD5" w:rsidRDefault="00572AD5">
      <w:pPr>
        <w:jc w:val="both"/>
        <w:rPr>
          <w:rFonts w:ascii="Arial" w:eastAsia="Arial" w:hAnsi="Arial" w:cs="Arial"/>
          <w:sz w:val="22"/>
          <w:szCs w:val="22"/>
        </w:rPr>
      </w:pPr>
    </w:p>
    <w:p w14:paraId="61E84C29" w14:textId="77777777" w:rsidR="00572AD5" w:rsidRDefault="00572AD5">
      <w:pPr>
        <w:jc w:val="both"/>
        <w:rPr>
          <w:rFonts w:ascii="Arial" w:eastAsia="Arial" w:hAnsi="Arial" w:cs="Arial"/>
          <w:sz w:val="22"/>
          <w:szCs w:val="22"/>
        </w:rPr>
      </w:pPr>
    </w:p>
    <w:p w14:paraId="27BEAFCA" w14:textId="77777777" w:rsidR="00572AD5" w:rsidRDefault="00572AD5">
      <w:pPr>
        <w:spacing w:line="276" w:lineRule="auto"/>
        <w:jc w:val="both"/>
        <w:rPr>
          <w:rFonts w:ascii="Arial" w:eastAsia="Arial" w:hAnsi="Arial" w:cs="Arial"/>
          <w:sz w:val="22"/>
          <w:szCs w:val="22"/>
        </w:rPr>
      </w:pPr>
    </w:p>
    <w:p w14:paraId="596AABA0" w14:textId="161D7335" w:rsidR="00572AD5" w:rsidRDefault="00523D2F">
      <w:pPr>
        <w:spacing w:line="276" w:lineRule="auto"/>
        <w:jc w:val="both"/>
        <w:rPr>
          <w:rFonts w:ascii="Arial" w:eastAsia="Arial" w:hAnsi="Arial" w:cs="Arial"/>
          <w:b/>
          <w:sz w:val="22"/>
          <w:szCs w:val="22"/>
        </w:rPr>
      </w:pPr>
      <w:r>
        <w:rPr>
          <w:rFonts w:ascii="Arial" w:eastAsia="Arial" w:hAnsi="Arial" w:cs="Arial"/>
          <w:b/>
          <w:sz w:val="22"/>
          <w:szCs w:val="22"/>
        </w:rPr>
        <w:t>EDWIN HERNANDO MAYORGA ECHEVERRY</w:t>
      </w:r>
    </w:p>
    <w:p w14:paraId="6C4711C2" w14:textId="1EAF0DB4" w:rsidR="00572AD5" w:rsidRDefault="00523D2F">
      <w:pPr>
        <w:spacing w:line="276" w:lineRule="auto"/>
        <w:jc w:val="both"/>
        <w:rPr>
          <w:rFonts w:ascii="Arial" w:eastAsia="Arial" w:hAnsi="Arial" w:cs="Arial"/>
          <w:sz w:val="22"/>
          <w:szCs w:val="22"/>
        </w:rPr>
      </w:pPr>
      <w:r>
        <w:rPr>
          <w:rFonts w:ascii="Arial" w:eastAsia="Arial" w:hAnsi="Arial" w:cs="Arial"/>
          <w:sz w:val="22"/>
          <w:szCs w:val="22"/>
        </w:rPr>
        <w:t>Coordinador de Formación Integral, Promoción y Relaciones Corporativas</w:t>
      </w:r>
    </w:p>
    <w:p w14:paraId="7D812A3F"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Centro Agropecuario La Granja – El Espinal</w:t>
      </w:r>
    </w:p>
    <w:p w14:paraId="64B3959A" w14:textId="61BBF633" w:rsidR="00523D2F" w:rsidRDefault="00523D2F">
      <w:pPr>
        <w:spacing w:line="276" w:lineRule="auto"/>
        <w:jc w:val="both"/>
        <w:rPr>
          <w:rFonts w:ascii="Arial" w:eastAsia="Arial" w:hAnsi="Arial" w:cs="Arial"/>
          <w:sz w:val="22"/>
          <w:szCs w:val="22"/>
        </w:rPr>
      </w:pPr>
      <w:r>
        <w:rPr>
          <w:rFonts w:ascii="Arial" w:eastAsia="Arial" w:hAnsi="Arial" w:cs="Arial"/>
          <w:sz w:val="22"/>
          <w:szCs w:val="22"/>
        </w:rPr>
        <w:t>SENA Regional Tolima</w:t>
      </w:r>
    </w:p>
    <w:p w14:paraId="5F3EACF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ab/>
        <w:t xml:space="preserve">  </w:t>
      </w:r>
      <w:r>
        <w:rPr>
          <w:noProof/>
        </w:rPr>
        <w:drawing>
          <wp:anchor distT="0" distB="0" distL="114300" distR="114300" simplePos="0" relativeHeight="251671552" behindDoc="0" locked="0" layoutInCell="1" hidden="0" allowOverlap="1" wp14:anchorId="314B6926" wp14:editId="350D9DFD">
            <wp:simplePos x="0" y="0"/>
            <wp:positionH relativeFrom="column">
              <wp:posOffset>2692771</wp:posOffset>
            </wp:positionH>
            <wp:positionV relativeFrom="paragraph">
              <wp:posOffset>130175</wp:posOffset>
            </wp:positionV>
            <wp:extent cx="431165" cy="168910"/>
            <wp:effectExtent l="0" t="0" r="0" b="0"/>
            <wp:wrapSquare wrapText="bothSides" distT="0" distB="0" distL="114300" distR="114300"/>
            <wp:docPr id="19" name="image17.jpg" descr="Texto, Cart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7.jpg" descr="Texto, Carta&#10;&#10;El contenido generado por IA puede ser incorrecto."/>
                    <pic:cNvPicPr preferRelativeResize="0"/>
                  </pic:nvPicPr>
                  <pic:blipFill>
                    <a:blip r:embed="rId74"/>
                    <a:srcRect/>
                    <a:stretch>
                      <a:fillRect/>
                    </a:stretch>
                  </pic:blipFill>
                  <pic:spPr>
                    <a:xfrm>
                      <a:off x="0" y="0"/>
                      <a:ext cx="431165" cy="168910"/>
                    </a:xfrm>
                    <a:prstGeom prst="rect">
                      <a:avLst/>
                    </a:prstGeom>
                    <a:ln/>
                  </pic:spPr>
                </pic:pic>
              </a:graphicData>
            </a:graphic>
          </wp:anchor>
        </w:drawing>
      </w:r>
    </w:p>
    <w:p w14:paraId="0C2A1D82" w14:textId="77777777" w:rsidR="00523D2F" w:rsidRDefault="00000000">
      <w:pPr>
        <w:spacing w:line="276" w:lineRule="auto"/>
        <w:jc w:val="both"/>
        <w:rPr>
          <w:rFonts w:ascii="Arial" w:eastAsia="Arial" w:hAnsi="Arial" w:cs="Arial"/>
          <w:sz w:val="18"/>
          <w:szCs w:val="18"/>
        </w:rPr>
      </w:pPr>
      <w:r>
        <w:rPr>
          <w:rFonts w:ascii="Arial" w:eastAsia="Arial" w:hAnsi="Arial" w:cs="Arial"/>
          <w:sz w:val="18"/>
          <w:szCs w:val="18"/>
        </w:rPr>
        <w:t>Leonardo Bonilla Tello - Estructurador de proyectos</w:t>
      </w:r>
    </w:p>
    <w:p w14:paraId="027D95B6" w14:textId="22E34E18" w:rsidR="00572AD5" w:rsidRDefault="00523D2F" w:rsidP="00523D2F">
      <w:pPr>
        <w:spacing w:line="276" w:lineRule="auto"/>
        <w:jc w:val="both"/>
        <w:rPr>
          <w:rFonts w:ascii="Arial" w:eastAsia="Arial" w:hAnsi="Arial" w:cs="Arial"/>
          <w:sz w:val="18"/>
          <w:szCs w:val="18"/>
        </w:rPr>
      </w:pPr>
      <w:r w:rsidRPr="00523D2F">
        <w:rPr>
          <w:rFonts w:ascii="Arial" w:eastAsia="Arial" w:hAnsi="Arial" w:cs="Arial"/>
          <w:sz w:val="18"/>
          <w:szCs w:val="18"/>
        </w:rPr>
        <w:t>Karla Andrea Molina Restrepo</w:t>
      </w:r>
      <w:r>
        <w:rPr>
          <w:rFonts w:ascii="Arial" w:eastAsia="Arial" w:hAnsi="Arial" w:cs="Arial"/>
          <w:sz w:val="18"/>
          <w:szCs w:val="18"/>
        </w:rPr>
        <w:t xml:space="preserve"> - </w:t>
      </w:r>
      <w:r w:rsidRPr="00523D2F">
        <w:rPr>
          <w:rFonts w:ascii="Arial" w:eastAsia="Arial" w:hAnsi="Arial" w:cs="Arial"/>
          <w:sz w:val="18"/>
          <w:szCs w:val="18"/>
        </w:rPr>
        <w:t>Contratista Apoyo Administrativo de Bienestar al Aprendiz</w:t>
      </w:r>
    </w:p>
    <w:p w14:paraId="6AF67012" w14:textId="77777777" w:rsidR="00523D2F" w:rsidRPr="00523D2F" w:rsidRDefault="00523D2F" w:rsidP="00523D2F">
      <w:pPr>
        <w:spacing w:line="276" w:lineRule="auto"/>
        <w:jc w:val="both"/>
        <w:rPr>
          <w:rFonts w:ascii="Arial" w:eastAsia="Arial" w:hAnsi="Arial" w:cs="Arial"/>
          <w:sz w:val="18"/>
          <w:szCs w:val="18"/>
        </w:rPr>
      </w:pPr>
      <w:r w:rsidRPr="00523D2F">
        <w:rPr>
          <w:rFonts w:ascii="Arial" w:eastAsia="Arial" w:hAnsi="Arial" w:cs="Arial"/>
          <w:sz w:val="18"/>
          <w:szCs w:val="18"/>
        </w:rPr>
        <w:t xml:space="preserve">Marlon Bermúdez Pérez - Dinamizador Ambiental Y Energético </w:t>
      </w:r>
    </w:p>
    <w:p w14:paraId="43A0BAF7" w14:textId="0B36599B" w:rsidR="00523D2F" w:rsidRDefault="00523D2F" w:rsidP="00523D2F">
      <w:pPr>
        <w:spacing w:line="276" w:lineRule="auto"/>
        <w:jc w:val="both"/>
        <w:rPr>
          <w:rFonts w:ascii="Arial" w:eastAsia="Arial" w:hAnsi="Arial" w:cs="Arial"/>
          <w:sz w:val="18"/>
          <w:szCs w:val="18"/>
        </w:rPr>
      </w:pPr>
      <w:r w:rsidRPr="00523D2F">
        <w:rPr>
          <w:rFonts w:ascii="Arial" w:eastAsia="Arial" w:hAnsi="Arial" w:cs="Arial"/>
          <w:sz w:val="18"/>
          <w:szCs w:val="18"/>
        </w:rPr>
        <w:t>Mauricio Villalba Charry - Profesional apoyo HySI</w:t>
      </w:r>
    </w:p>
    <w:sectPr w:rsidR="00523D2F">
      <w:pgSz w:w="12242" w:h="15842"/>
      <w:pgMar w:top="1701" w:right="1610" w:bottom="1134" w:left="1701" w:header="709" w:footer="22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8DB41" w14:textId="77777777" w:rsidR="00D06C7D" w:rsidRDefault="00D06C7D">
      <w:r>
        <w:separator/>
      </w:r>
    </w:p>
  </w:endnote>
  <w:endnote w:type="continuationSeparator" w:id="0">
    <w:p w14:paraId="36A2A15E" w14:textId="77777777" w:rsidR="00D06C7D" w:rsidRDefault="00D06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AFC111B7-2A55-4454-8E53-08C88075B215}"/>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32D6FF5C-4436-4D41-8A70-B94A923CE29D}"/>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3" w:fontKey="{D42AAFE1-27D4-4612-B951-0FDEA8DC37DF}"/>
    <w:embedBold r:id="rId4" w:fontKey="{0FDD55EB-4EF8-4882-9002-08CA00AFCC4D}"/>
    <w:embedItalic r:id="rId5" w:fontKey="{D4F6058D-9943-4140-8CA2-3753C0ACE8F9}"/>
    <w:embedBoldItalic r:id="rId6" w:fontKey="{B23100AB-C5FC-4726-90DB-31D489C7F599}"/>
  </w:font>
  <w:font w:name="Calibri">
    <w:panose1 w:val="020F0502020204030204"/>
    <w:charset w:val="00"/>
    <w:family w:val="swiss"/>
    <w:pitch w:val="variable"/>
    <w:sig w:usb0="E4002EFF" w:usb1="C000247B" w:usb2="00000009" w:usb3="00000000" w:csb0="000001FF" w:csb1="00000000"/>
    <w:embedRegular r:id="rId7" w:fontKey="{BA2C219C-74A4-4E99-9928-765FCB2E6B98}"/>
    <w:embedBold r:id="rId8" w:fontKey="{C599DA67-E3E9-44EB-B3C9-B405B0BD5F92}"/>
    <w:embedItalic r:id="rId9" w:fontKey="{4A0CD592-6E23-40AA-9607-D3B384AB13F3}"/>
  </w:font>
  <w:font w:name="Georgia">
    <w:panose1 w:val="02040502050405020303"/>
    <w:charset w:val="00"/>
    <w:family w:val="roman"/>
    <w:pitch w:val="variable"/>
    <w:sig w:usb0="00000287" w:usb1="00000000" w:usb2="00000000" w:usb3="00000000" w:csb0="0000009F" w:csb1="00000000"/>
    <w:embedRegular r:id="rId10" w:fontKey="{EE57F56F-1A7F-4295-ABDE-04787F0539DF}"/>
    <w:embedItalic r:id="rId11" w:fontKey="{123214DF-6277-46E0-99B8-D3A1AF8B2058}"/>
  </w:font>
  <w:font w:name="Trebuchet MS">
    <w:panose1 w:val="020B0603020202020204"/>
    <w:charset w:val="00"/>
    <w:family w:val="swiss"/>
    <w:pitch w:val="variable"/>
    <w:sig w:usb0="00000687" w:usb1="00000000" w:usb2="00000000" w:usb3="00000000" w:csb0="0000009F" w:csb1="00000000"/>
    <w:embedRegular r:id="rId12" w:fontKey="{E4F79027-0039-49D7-BC1B-4953F0D24834}"/>
  </w:font>
  <w:font w:name="Arial Unicode MS">
    <w:altName w:val="Arial"/>
    <w:panose1 w:val="020B0604020202020204"/>
    <w:charset w:val="00"/>
    <w:family w:val="roman"/>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embedRegular r:id="rId13" w:fontKey="{5F27B8B9-547E-41F2-B744-9F7B53DC074A}"/>
    <w:embedBold r:id="rId14" w:fontKey="{9E763F4F-7123-4278-A3D5-ECC593911F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71820" w14:textId="77777777" w:rsidR="00572AD5" w:rsidRDefault="00572AD5">
    <w:pPr>
      <w:tabs>
        <w:tab w:val="center" w:pos="4252"/>
        <w:tab w:val="right" w:pos="8504"/>
      </w:tabs>
      <w:spacing w:after="200" w:line="276" w:lineRule="auto"/>
      <w:jc w:val="right"/>
      <w:rPr>
        <w:rFonts w:ascii="Calibri" w:eastAsia="Calibri" w:hAnsi="Calibri" w:cs="Calibri"/>
        <w:sz w:val="22"/>
        <w:szCs w:val="22"/>
      </w:rPr>
    </w:pPr>
  </w:p>
  <w:p w14:paraId="72254DE0" w14:textId="77777777" w:rsidR="00572AD5" w:rsidRDefault="00000000">
    <w:pPr>
      <w:tabs>
        <w:tab w:val="center" w:pos="4252"/>
        <w:tab w:val="right" w:pos="8504"/>
      </w:tabs>
      <w:spacing w:after="200" w:line="276" w:lineRule="auto"/>
      <w:jc w:val="center"/>
      <w:rPr>
        <w:rFonts w:ascii="Calibri" w:eastAsia="Calibri" w:hAnsi="Calibri" w:cs="Calibri"/>
        <w:sz w:val="22"/>
        <w:szCs w:val="22"/>
      </w:rPr>
    </w:pPr>
    <w:r>
      <w:rPr>
        <w:rFonts w:ascii="Calibri" w:eastAsia="Calibri" w:hAnsi="Calibri" w:cs="Calibri"/>
        <w:sz w:val="22"/>
        <w:szCs w:val="22"/>
      </w:rPr>
      <w:t>DO-F-012 V06</w:t>
    </w:r>
  </w:p>
  <w:p w14:paraId="1C298ACE" w14:textId="77777777" w:rsidR="00572AD5" w:rsidRDefault="00572AD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3F353" w14:textId="77777777" w:rsidR="00D06C7D" w:rsidRDefault="00D06C7D">
      <w:r>
        <w:separator/>
      </w:r>
    </w:p>
  </w:footnote>
  <w:footnote w:type="continuationSeparator" w:id="0">
    <w:p w14:paraId="543849BE" w14:textId="77777777" w:rsidR="00D06C7D" w:rsidRDefault="00D06C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3CAFB" w14:textId="77777777" w:rsidR="00572AD5" w:rsidRDefault="00000000">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14:anchorId="65AE54E1" wp14:editId="6BFB2F8A">
          <wp:simplePos x="0" y="0"/>
          <wp:positionH relativeFrom="column">
            <wp:posOffset>1459230</wp:posOffset>
          </wp:positionH>
          <wp:positionV relativeFrom="paragraph">
            <wp:posOffset>-205103</wp:posOffset>
          </wp:positionV>
          <wp:extent cx="592455" cy="561340"/>
          <wp:effectExtent l="0" t="0" r="0" b="0"/>
          <wp:wrapSquare wrapText="bothSides" distT="0" distB="0" distL="114300" distR="11430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p w14:paraId="10BEF234" w14:textId="77777777" w:rsidR="00572AD5" w:rsidRDefault="00572AD5"/>
  <w:p w14:paraId="085E6167" w14:textId="77777777" w:rsidR="00572AD5" w:rsidRDefault="00572AD5"/>
  <w:p w14:paraId="27CB5BD9" w14:textId="77777777" w:rsidR="00572AD5" w:rsidRDefault="00572AD5"/>
  <w:p w14:paraId="3F8F6CD9" w14:textId="77777777" w:rsidR="00572AD5" w:rsidRDefault="00572AD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E71C6"/>
    <w:multiLevelType w:val="multilevel"/>
    <w:tmpl w:val="1C287F3A"/>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445000E"/>
    <w:multiLevelType w:val="hybridMultilevel"/>
    <w:tmpl w:val="8AF67C64"/>
    <w:lvl w:ilvl="0" w:tplc="240A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0B1CF0"/>
    <w:multiLevelType w:val="multilevel"/>
    <w:tmpl w:val="BCA0D0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7BC5A40"/>
    <w:multiLevelType w:val="hybridMultilevel"/>
    <w:tmpl w:val="47F4C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595384"/>
    <w:multiLevelType w:val="multilevel"/>
    <w:tmpl w:val="7CCAE04A"/>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097F6BAA"/>
    <w:multiLevelType w:val="hybridMultilevel"/>
    <w:tmpl w:val="3E06BC38"/>
    <w:lvl w:ilvl="0" w:tplc="05A880F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E7432D7"/>
    <w:multiLevelType w:val="multilevel"/>
    <w:tmpl w:val="24400A0A"/>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190015C"/>
    <w:multiLevelType w:val="multilevel"/>
    <w:tmpl w:val="8DF68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2492B5A"/>
    <w:multiLevelType w:val="multilevel"/>
    <w:tmpl w:val="B274882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15522F99"/>
    <w:multiLevelType w:val="multilevel"/>
    <w:tmpl w:val="94064AA0"/>
    <w:lvl w:ilvl="0">
      <w:start w:val="10"/>
      <w:numFmt w:val="decimal"/>
      <w:lvlText w:val="%1"/>
      <w:lvlJc w:val="left"/>
      <w:pPr>
        <w:ind w:left="420" w:hanging="420"/>
      </w:pPr>
      <w:rPr>
        <w:rFonts w:hint="default"/>
        <w:b/>
      </w:rPr>
    </w:lvl>
    <w:lvl w:ilvl="1">
      <w:start w:val="1"/>
      <w:numFmt w:val="decimal"/>
      <w:lvlText w:val="%1.%2"/>
      <w:lvlJc w:val="left"/>
      <w:pPr>
        <w:ind w:left="780" w:hanging="4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0" w15:restartNumberingAfterBreak="0">
    <w:nsid w:val="164B7601"/>
    <w:multiLevelType w:val="hybridMultilevel"/>
    <w:tmpl w:val="C16017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7985F5A"/>
    <w:multiLevelType w:val="multilevel"/>
    <w:tmpl w:val="B3D8D222"/>
    <w:lvl w:ilvl="0">
      <w:start w:val="9"/>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15:restartNumberingAfterBreak="0">
    <w:nsid w:val="17EC5CED"/>
    <w:multiLevelType w:val="multilevel"/>
    <w:tmpl w:val="72C4354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180F32F8"/>
    <w:multiLevelType w:val="hybridMultilevel"/>
    <w:tmpl w:val="1562C22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D242295"/>
    <w:multiLevelType w:val="hybridMultilevel"/>
    <w:tmpl w:val="DC9CEA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DB60132"/>
    <w:multiLevelType w:val="multilevel"/>
    <w:tmpl w:val="36FE3650"/>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0714036"/>
    <w:multiLevelType w:val="multilevel"/>
    <w:tmpl w:val="4E603B08"/>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22D205E9"/>
    <w:multiLevelType w:val="multilevel"/>
    <w:tmpl w:val="B472F7E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397195C"/>
    <w:multiLevelType w:val="multilevel"/>
    <w:tmpl w:val="4C40887E"/>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25B67205"/>
    <w:multiLevelType w:val="multilevel"/>
    <w:tmpl w:val="DAD47B94"/>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2A6C2B69"/>
    <w:multiLevelType w:val="multilevel"/>
    <w:tmpl w:val="2E98C7DE"/>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2EF933C3"/>
    <w:multiLevelType w:val="multilevel"/>
    <w:tmpl w:val="1E7A8F1E"/>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37DF2F3B"/>
    <w:multiLevelType w:val="multilevel"/>
    <w:tmpl w:val="4BF464AA"/>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Arial Narrow" w:eastAsia="Arial Narrow" w:hAnsi="Arial Narrow" w:cs="Arial Narro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05E1734"/>
    <w:multiLevelType w:val="multilevel"/>
    <w:tmpl w:val="9FEC8EBA"/>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41B33C82"/>
    <w:multiLevelType w:val="multilevel"/>
    <w:tmpl w:val="EE04D06E"/>
    <w:lvl w:ilvl="0">
      <w:start w:val="1"/>
      <w:numFmt w:val="decimal"/>
      <w:lvlText w:val="%1."/>
      <w:lvlJc w:val="left"/>
      <w:pPr>
        <w:ind w:left="786" w:hanging="360"/>
      </w:pPr>
      <w:rPr>
        <w:b w:val="0"/>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5" w15:restartNumberingAfterBreak="0">
    <w:nsid w:val="42F50660"/>
    <w:multiLevelType w:val="multilevel"/>
    <w:tmpl w:val="81F064E2"/>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432D5FFF"/>
    <w:multiLevelType w:val="multilevel"/>
    <w:tmpl w:val="E6C6C4B2"/>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443B538F"/>
    <w:multiLevelType w:val="hybridMultilevel"/>
    <w:tmpl w:val="DC2E8806"/>
    <w:lvl w:ilvl="0" w:tplc="E4FC2030">
      <w:start w:val="4"/>
      <w:numFmt w:val="lowerLetter"/>
      <w:lvlText w:val="%1)"/>
      <w:lvlJc w:val="left"/>
      <w:pPr>
        <w:ind w:left="383" w:hanging="315"/>
      </w:pPr>
      <w:rPr>
        <w:rFonts w:ascii="Arial MT" w:eastAsia="Arial MT" w:hAnsi="Arial MT" w:cs="Arial MT" w:hint="default"/>
        <w:b w:val="0"/>
        <w:bCs w:val="0"/>
        <w:i w:val="0"/>
        <w:iCs w:val="0"/>
        <w:spacing w:val="0"/>
        <w:w w:val="100"/>
        <w:sz w:val="22"/>
        <w:szCs w:val="22"/>
        <w:lang w:val="es-ES" w:eastAsia="en-US" w:bidi="ar-SA"/>
      </w:rPr>
    </w:lvl>
    <w:lvl w:ilvl="1" w:tplc="2528C6BE">
      <w:numFmt w:val="bullet"/>
      <w:lvlText w:val="•"/>
      <w:lvlJc w:val="left"/>
      <w:pPr>
        <w:ind w:left="1049" w:hanging="315"/>
      </w:pPr>
      <w:rPr>
        <w:rFonts w:hint="default"/>
        <w:lang w:val="es-ES" w:eastAsia="en-US" w:bidi="ar-SA"/>
      </w:rPr>
    </w:lvl>
    <w:lvl w:ilvl="2" w:tplc="F306B2DC">
      <w:numFmt w:val="bullet"/>
      <w:lvlText w:val="•"/>
      <w:lvlJc w:val="left"/>
      <w:pPr>
        <w:ind w:left="1718" w:hanging="315"/>
      </w:pPr>
      <w:rPr>
        <w:rFonts w:hint="default"/>
        <w:lang w:val="es-ES" w:eastAsia="en-US" w:bidi="ar-SA"/>
      </w:rPr>
    </w:lvl>
    <w:lvl w:ilvl="3" w:tplc="11E25064">
      <w:numFmt w:val="bullet"/>
      <w:lvlText w:val="•"/>
      <w:lvlJc w:val="left"/>
      <w:pPr>
        <w:ind w:left="2387" w:hanging="315"/>
      </w:pPr>
      <w:rPr>
        <w:rFonts w:hint="default"/>
        <w:lang w:val="es-ES" w:eastAsia="en-US" w:bidi="ar-SA"/>
      </w:rPr>
    </w:lvl>
    <w:lvl w:ilvl="4" w:tplc="6C9C1BF6">
      <w:numFmt w:val="bullet"/>
      <w:lvlText w:val="•"/>
      <w:lvlJc w:val="left"/>
      <w:pPr>
        <w:ind w:left="3057" w:hanging="315"/>
      </w:pPr>
      <w:rPr>
        <w:rFonts w:hint="default"/>
        <w:lang w:val="es-ES" w:eastAsia="en-US" w:bidi="ar-SA"/>
      </w:rPr>
    </w:lvl>
    <w:lvl w:ilvl="5" w:tplc="3460CB50">
      <w:numFmt w:val="bullet"/>
      <w:lvlText w:val="•"/>
      <w:lvlJc w:val="left"/>
      <w:pPr>
        <w:ind w:left="3726" w:hanging="315"/>
      </w:pPr>
      <w:rPr>
        <w:rFonts w:hint="default"/>
        <w:lang w:val="es-ES" w:eastAsia="en-US" w:bidi="ar-SA"/>
      </w:rPr>
    </w:lvl>
    <w:lvl w:ilvl="6" w:tplc="4016E312">
      <w:numFmt w:val="bullet"/>
      <w:lvlText w:val="•"/>
      <w:lvlJc w:val="left"/>
      <w:pPr>
        <w:ind w:left="4395" w:hanging="315"/>
      </w:pPr>
      <w:rPr>
        <w:rFonts w:hint="default"/>
        <w:lang w:val="es-ES" w:eastAsia="en-US" w:bidi="ar-SA"/>
      </w:rPr>
    </w:lvl>
    <w:lvl w:ilvl="7" w:tplc="AFB42332">
      <w:numFmt w:val="bullet"/>
      <w:lvlText w:val="•"/>
      <w:lvlJc w:val="left"/>
      <w:pPr>
        <w:ind w:left="5065" w:hanging="315"/>
      </w:pPr>
      <w:rPr>
        <w:rFonts w:hint="default"/>
        <w:lang w:val="es-ES" w:eastAsia="en-US" w:bidi="ar-SA"/>
      </w:rPr>
    </w:lvl>
    <w:lvl w:ilvl="8" w:tplc="8CD8BC50">
      <w:numFmt w:val="bullet"/>
      <w:lvlText w:val="•"/>
      <w:lvlJc w:val="left"/>
      <w:pPr>
        <w:ind w:left="5734" w:hanging="315"/>
      </w:pPr>
      <w:rPr>
        <w:rFonts w:hint="default"/>
        <w:lang w:val="es-ES" w:eastAsia="en-US" w:bidi="ar-SA"/>
      </w:rPr>
    </w:lvl>
  </w:abstractNum>
  <w:abstractNum w:abstractNumId="28" w15:restartNumberingAfterBreak="0">
    <w:nsid w:val="45545CF5"/>
    <w:multiLevelType w:val="multilevel"/>
    <w:tmpl w:val="E536FF24"/>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47037556"/>
    <w:multiLevelType w:val="multilevel"/>
    <w:tmpl w:val="75EC66DA"/>
    <w:lvl w:ilvl="0">
      <w:start w:val="9"/>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30" w15:restartNumberingAfterBreak="0">
    <w:nsid w:val="48620A09"/>
    <w:multiLevelType w:val="hybridMultilevel"/>
    <w:tmpl w:val="3F6ED8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8FD531E"/>
    <w:multiLevelType w:val="hybridMultilevel"/>
    <w:tmpl w:val="CC880892"/>
    <w:lvl w:ilvl="0" w:tplc="8F7025EC">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D0D3BCC"/>
    <w:multiLevelType w:val="multilevel"/>
    <w:tmpl w:val="70B2BD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4DDE7EE9"/>
    <w:multiLevelType w:val="multilevel"/>
    <w:tmpl w:val="00B6A6FA"/>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4" w15:restartNumberingAfterBreak="0">
    <w:nsid w:val="4FCB7342"/>
    <w:multiLevelType w:val="multilevel"/>
    <w:tmpl w:val="D91C8918"/>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55C939B0"/>
    <w:multiLevelType w:val="multilevel"/>
    <w:tmpl w:val="833408B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56553647"/>
    <w:multiLevelType w:val="multilevel"/>
    <w:tmpl w:val="E3DAE4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57826AC7"/>
    <w:multiLevelType w:val="hybridMultilevel"/>
    <w:tmpl w:val="9836B96C"/>
    <w:lvl w:ilvl="0" w:tplc="0474334E">
      <w:start w:val="4"/>
      <w:numFmt w:val="lowerLetter"/>
      <w:lvlText w:val="%1."/>
      <w:lvlJc w:val="left"/>
      <w:pPr>
        <w:ind w:left="429" w:hanging="360"/>
      </w:pPr>
      <w:rPr>
        <w:rFonts w:ascii="Arial" w:eastAsia="Arial" w:hAnsi="Arial" w:cs="Arial" w:hint="default"/>
        <w:color w:val="000000"/>
      </w:rPr>
    </w:lvl>
    <w:lvl w:ilvl="1" w:tplc="240A0019" w:tentative="1">
      <w:start w:val="1"/>
      <w:numFmt w:val="lowerLetter"/>
      <w:lvlText w:val="%2."/>
      <w:lvlJc w:val="left"/>
      <w:pPr>
        <w:ind w:left="1149" w:hanging="360"/>
      </w:pPr>
    </w:lvl>
    <w:lvl w:ilvl="2" w:tplc="240A001B" w:tentative="1">
      <w:start w:val="1"/>
      <w:numFmt w:val="lowerRoman"/>
      <w:lvlText w:val="%3."/>
      <w:lvlJc w:val="right"/>
      <w:pPr>
        <w:ind w:left="1869" w:hanging="180"/>
      </w:pPr>
    </w:lvl>
    <w:lvl w:ilvl="3" w:tplc="240A000F" w:tentative="1">
      <w:start w:val="1"/>
      <w:numFmt w:val="decimal"/>
      <w:lvlText w:val="%4."/>
      <w:lvlJc w:val="left"/>
      <w:pPr>
        <w:ind w:left="2589" w:hanging="360"/>
      </w:pPr>
    </w:lvl>
    <w:lvl w:ilvl="4" w:tplc="240A0019" w:tentative="1">
      <w:start w:val="1"/>
      <w:numFmt w:val="lowerLetter"/>
      <w:lvlText w:val="%5."/>
      <w:lvlJc w:val="left"/>
      <w:pPr>
        <w:ind w:left="3309" w:hanging="360"/>
      </w:pPr>
    </w:lvl>
    <w:lvl w:ilvl="5" w:tplc="240A001B" w:tentative="1">
      <w:start w:val="1"/>
      <w:numFmt w:val="lowerRoman"/>
      <w:lvlText w:val="%6."/>
      <w:lvlJc w:val="right"/>
      <w:pPr>
        <w:ind w:left="4029" w:hanging="180"/>
      </w:pPr>
    </w:lvl>
    <w:lvl w:ilvl="6" w:tplc="240A000F" w:tentative="1">
      <w:start w:val="1"/>
      <w:numFmt w:val="decimal"/>
      <w:lvlText w:val="%7."/>
      <w:lvlJc w:val="left"/>
      <w:pPr>
        <w:ind w:left="4749" w:hanging="360"/>
      </w:pPr>
    </w:lvl>
    <w:lvl w:ilvl="7" w:tplc="240A0019" w:tentative="1">
      <w:start w:val="1"/>
      <w:numFmt w:val="lowerLetter"/>
      <w:lvlText w:val="%8."/>
      <w:lvlJc w:val="left"/>
      <w:pPr>
        <w:ind w:left="5469" w:hanging="360"/>
      </w:pPr>
    </w:lvl>
    <w:lvl w:ilvl="8" w:tplc="240A001B" w:tentative="1">
      <w:start w:val="1"/>
      <w:numFmt w:val="lowerRoman"/>
      <w:lvlText w:val="%9."/>
      <w:lvlJc w:val="right"/>
      <w:pPr>
        <w:ind w:left="6189" w:hanging="180"/>
      </w:pPr>
    </w:lvl>
  </w:abstractNum>
  <w:abstractNum w:abstractNumId="38" w15:restartNumberingAfterBreak="0">
    <w:nsid w:val="583E1A9C"/>
    <w:multiLevelType w:val="hybridMultilevel"/>
    <w:tmpl w:val="28A21DDC"/>
    <w:lvl w:ilvl="0" w:tplc="DAFC8826">
      <w:start w:val="1"/>
      <w:numFmt w:val="decimal"/>
      <w:lvlText w:val="%1."/>
      <w:lvlJc w:val="left"/>
      <w:pPr>
        <w:ind w:left="177" w:hanging="358"/>
      </w:pPr>
      <w:rPr>
        <w:rFonts w:ascii="Arial MT" w:eastAsia="Arial MT" w:hAnsi="Arial MT" w:cs="Arial MT" w:hint="default"/>
        <w:b w:val="0"/>
        <w:bCs w:val="0"/>
        <w:i w:val="0"/>
        <w:iCs w:val="0"/>
        <w:spacing w:val="0"/>
        <w:w w:val="88"/>
        <w:sz w:val="22"/>
        <w:szCs w:val="22"/>
        <w:lang w:val="es-ES" w:eastAsia="en-US" w:bidi="ar-SA"/>
      </w:rPr>
    </w:lvl>
    <w:lvl w:ilvl="1" w:tplc="8B6653BC">
      <w:numFmt w:val="bullet"/>
      <w:lvlText w:val="•"/>
      <w:lvlJc w:val="left"/>
      <w:pPr>
        <w:ind w:left="869" w:hanging="358"/>
      </w:pPr>
      <w:rPr>
        <w:rFonts w:hint="default"/>
        <w:lang w:val="es-ES" w:eastAsia="en-US" w:bidi="ar-SA"/>
      </w:rPr>
    </w:lvl>
    <w:lvl w:ilvl="2" w:tplc="C1A8C6AC">
      <w:numFmt w:val="bullet"/>
      <w:lvlText w:val="•"/>
      <w:lvlJc w:val="left"/>
      <w:pPr>
        <w:ind w:left="1558" w:hanging="358"/>
      </w:pPr>
      <w:rPr>
        <w:rFonts w:hint="default"/>
        <w:lang w:val="es-ES" w:eastAsia="en-US" w:bidi="ar-SA"/>
      </w:rPr>
    </w:lvl>
    <w:lvl w:ilvl="3" w:tplc="54BC39E2">
      <w:numFmt w:val="bullet"/>
      <w:lvlText w:val="•"/>
      <w:lvlJc w:val="left"/>
      <w:pPr>
        <w:ind w:left="2247" w:hanging="358"/>
      </w:pPr>
      <w:rPr>
        <w:rFonts w:hint="default"/>
        <w:lang w:val="es-ES" w:eastAsia="en-US" w:bidi="ar-SA"/>
      </w:rPr>
    </w:lvl>
    <w:lvl w:ilvl="4" w:tplc="FA0646C8">
      <w:numFmt w:val="bullet"/>
      <w:lvlText w:val="•"/>
      <w:lvlJc w:val="left"/>
      <w:pPr>
        <w:ind w:left="2937" w:hanging="358"/>
      </w:pPr>
      <w:rPr>
        <w:rFonts w:hint="default"/>
        <w:lang w:val="es-ES" w:eastAsia="en-US" w:bidi="ar-SA"/>
      </w:rPr>
    </w:lvl>
    <w:lvl w:ilvl="5" w:tplc="CCE02330">
      <w:numFmt w:val="bullet"/>
      <w:lvlText w:val="•"/>
      <w:lvlJc w:val="left"/>
      <w:pPr>
        <w:ind w:left="3626" w:hanging="358"/>
      </w:pPr>
      <w:rPr>
        <w:rFonts w:hint="default"/>
        <w:lang w:val="es-ES" w:eastAsia="en-US" w:bidi="ar-SA"/>
      </w:rPr>
    </w:lvl>
    <w:lvl w:ilvl="6" w:tplc="3398BF92">
      <w:numFmt w:val="bullet"/>
      <w:lvlText w:val="•"/>
      <w:lvlJc w:val="left"/>
      <w:pPr>
        <w:ind w:left="4315" w:hanging="358"/>
      </w:pPr>
      <w:rPr>
        <w:rFonts w:hint="default"/>
        <w:lang w:val="es-ES" w:eastAsia="en-US" w:bidi="ar-SA"/>
      </w:rPr>
    </w:lvl>
    <w:lvl w:ilvl="7" w:tplc="C4C071E6">
      <w:numFmt w:val="bullet"/>
      <w:lvlText w:val="•"/>
      <w:lvlJc w:val="left"/>
      <w:pPr>
        <w:ind w:left="5005" w:hanging="358"/>
      </w:pPr>
      <w:rPr>
        <w:rFonts w:hint="default"/>
        <w:lang w:val="es-ES" w:eastAsia="en-US" w:bidi="ar-SA"/>
      </w:rPr>
    </w:lvl>
    <w:lvl w:ilvl="8" w:tplc="FD88DA2E">
      <w:numFmt w:val="bullet"/>
      <w:lvlText w:val="•"/>
      <w:lvlJc w:val="left"/>
      <w:pPr>
        <w:ind w:left="5694" w:hanging="358"/>
      </w:pPr>
      <w:rPr>
        <w:rFonts w:hint="default"/>
        <w:lang w:val="es-ES" w:eastAsia="en-US" w:bidi="ar-SA"/>
      </w:rPr>
    </w:lvl>
  </w:abstractNum>
  <w:abstractNum w:abstractNumId="39" w15:restartNumberingAfterBreak="0">
    <w:nsid w:val="5CB974FE"/>
    <w:multiLevelType w:val="multilevel"/>
    <w:tmpl w:val="1BE22EAE"/>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5E6F1CDC"/>
    <w:multiLevelType w:val="multilevel"/>
    <w:tmpl w:val="CFE28C0E"/>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5E746363"/>
    <w:multiLevelType w:val="multilevel"/>
    <w:tmpl w:val="51B4E4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60AD0F2B"/>
    <w:multiLevelType w:val="multilevel"/>
    <w:tmpl w:val="08C83132"/>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61E009DC"/>
    <w:multiLevelType w:val="multilevel"/>
    <w:tmpl w:val="D326E5BA"/>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653D1AEF"/>
    <w:multiLevelType w:val="hybridMultilevel"/>
    <w:tmpl w:val="E0ACD52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661E5889"/>
    <w:multiLevelType w:val="multilevel"/>
    <w:tmpl w:val="AC886A7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696C290C"/>
    <w:multiLevelType w:val="multilevel"/>
    <w:tmpl w:val="CD18CF88"/>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6BF85FBE"/>
    <w:multiLevelType w:val="multilevel"/>
    <w:tmpl w:val="7A8CAA06"/>
    <w:lvl w:ilvl="0">
      <w:start w:val="1"/>
      <w:numFmt w:val="decimal"/>
      <w:lvlText w:val="%1."/>
      <w:lvlJc w:val="left"/>
      <w:pPr>
        <w:ind w:left="644" w:hanging="359"/>
      </w:pPr>
      <w:rPr>
        <w:b w:val="0"/>
        <w:u w:val="none"/>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8" w15:restartNumberingAfterBreak="0">
    <w:nsid w:val="6BFF6C6C"/>
    <w:multiLevelType w:val="hybridMultilevel"/>
    <w:tmpl w:val="91CE00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6C02589D"/>
    <w:multiLevelType w:val="hybridMultilevel"/>
    <w:tmpl w:val="93B4EED2"/>
    <w:lvl w:ilvl="0" w:tplc="7D00F6AA">
      <w:numFmt w:val="bullet"/>
      <w:lvlText w:val="*"/>
      <w:lvlJc w:val="left"/>
      <w:pPr>
        <w:ind w:left="69" w:hanging="175"/>
      </w:pPr>
      <w:rPr>
        <w:rFonts w:ascii="Arial MT" w:eastAsia="Arial MT" w:hAnsi="Arial MT" w:cs="Arial MT" w:hint="default"/>
        <w:b w:val="0"/>
        <w:bCs w:val="0"/>
        <w:i w:val="0"/>
        <w:iCs w:val="0"/>
        <w:spacing w:val="0"/>
        <w:w w:val="100"/>
        <w:sz w:val="22"/>
        <w:szCs w:val="22"/>
        <w:lang w:val="es-ES" w:eastAsia="en-US" w:bidi="ar-SA"/>
      </w:rPr>
    </w:lvl>
    <w:lvl w:ilvl="1" w:tplc="666CB988">
      <w:numFmt w:val="bullet"/>
      <w:lvlText w:val="•"/>
      <w:lvlJc w:val="left"/>
      <w:pPr>
        <w:ind w:left="761" w:hanging="175"/>
      </w:pPr>
      <w:rPr>
        <w:rFonts w:hint="default"/>
        <w:lang w:val="es-ES" w:eastAsia="en-US" w:bidi="ar-SA"/>
      </w:rPr>
    </w:lvl>
    <w:lvl w:ilvl="2" w:tplc="1B340B6A">
      <w:numFmt w:val="bullet"/>
      <w:lvlText w:val="•"/>
      <w:lvlJc w:val="left"/>
      <w:pPr>
        <w:ind w:left="1462" w:hanging="175"/>
      </w:pPr>
      <w:rPr>
        <w:rFonts w:hint="default"/>
        <w:lang w:val="es-ES" w:eastAsia="en-US" w:bidi="ar-SA"/>
      </w:rPr>
    </w:lvl>
    <w:lvl w:ilvl="3" w:tplc="6082CEE4">
      <w:numFmt w:val="bullet"/>
      <w:lvlText w:val="•"/>
      <w:lvlJc w:val="left"/>
      <w:pPr>
        <w:ind w:left="2163" w:hanging="175"/>
      </w:pPr>
      <w:rPr>
        <w:rFonts w:hint="default"/>
        <w:lang w:val="es-ES" w:eastAsia="en-US" w:bidi="ar-SA"/>
      </w:rPr>
    </w:lvl>
    <w:lvl w:ilvl="4" w:tplc="9DC63462">
      <w:numFmt w:val="bullet"/>
      <w:lvlText w:val="•"/>
      <w:lvlJc w:val="left"/>
      <w:pPr>
        <w:ind w:left="2865" w:hanging="175"/>
      </w:pPr>
      <w:rPr>
        <w:rFonts w:hint="default"/>
        <w:lang w:val="es-ES" w:eastAsia="en-US" w:bidi="ar-SA"/>
      </w:rPr>
    </w:lvl>
    <w:lvl w:ilvl="5" w:tplc="1CF8BBBC">
      <w:numFmt w:val="bullet"/>
      <w:lvlText w:val="•"/>
      <w:lvlJc w:val="left"/>
      <w:pPr>
        <w:ind w:left="3566" w:hanging="175"/>
      </w:pPr>
      <w:rPr>
        <w:rFonts w:hint="default"/>
        <w:lang w:val="es-ES" w:eastAsia="en-US" w:bidi="ar-SA"/>
      </w:rPr>
    </w:lvl>
    <w:lvl w:ilvl="6" w:tplc="8BBAC42C">
      <w:numFmt w:val="bullet"/>
      <w:lvlText w:val="•"/>
      <w:lvlJc w:val="left"/>
      <w:pPr>
        <w:ind w:left="4267" w:hanging="175"/>
      </w:pPr>
      <w:rPr>
        <w:rFonts w:hint="default"/>
        <w:lang w:val="es-ES" w:eastAsia="en-US" w:bidi="ar-SA"/>
      </w:rPr>
    </w:lvl>
    <w:lvl w:ilvl="7" w:tplc="463A90E2">
      <w:numFmt w:val="bullet"/>
      <w:lvlText w:val="•"/>
      <w:lvlJc w:val="left"/>
      <w:pPr>
        <w:ind w:left="4969" w:hanging="175"/>
      </w:pPr>
      <w:rPr>
        <w:rFonts w:hint="default"/>
        <w:lang w:val="es-ES" w:eastAsia="en-US" w:bidi="ar-SA"/>
      </w:rPr>
    </w:lvl>
    <w:lvl w:ilvl="8" w:tplc="D84C9594">
      <w:numFmt w:val="bullet"/>
      <w:lvlText w:val="•"/>
      <w:lvlJc w:val="left"/>
      <w:pPr>
        <w:ind w:left="5670" w:hanging="175"/>
      </w:pPr>
      <w:rPr>
        <w:rFonts w:hint="default"/>
        <w:lang w:val="es-ES" w:eastAsia="en-US" w:bidi="ar-SA"/>
      </w:rPr>
    </w:lvl>
  </w:abstractNum>
  <w:abstractNum w:abstractNumId="50" w15:restartNumberingAfterBreak="0">
    <w:nsid w:val="6D785F6B"/>
    <w:multiLevelType w:val="hybridMultilevel"/>
    <w:tmpl w:val="8BDE70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6D885882"/>
    <w:multiLevelType w:val="multilevel"/>
    <w:tmpl w:val="9AA8BA26"/>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6EFE655B"/>
    <w:multiLevelType w:val="hybridMultilevel"/>
    <w:tmpl w:val="C8EA39F4"/>
    <w:lvl w:ilvl="0" w:tplc="72744C3A">
      <w:start w:val="1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6F4866C1"/>
    <w:multiLevelType w:val="multilevel"/>
    <w:tmpl w:val="A0B01C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6F7B2250"/>
    <w:multiLevelType w:val="multilevel"/>
    <w:tmpl w:val="289673D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71912784"/>
    <w:multiLevelType w:val="multilevel"/>
    <w:tmpl w:val="36ACC96A"/>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6" w15:restartNumberingAfterBreak="0">
    <w:nsid w:val="736955AF"/>
    <w:multiLevelType w:val="hybridMultilevel"/>
    <w:tmpl w:val="E80CCA62"/>
    <w:lvl w:ilvl="0" w:tplc="8F7025EC">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75911586"/>
    <w:multiLevelType w:val="multilevel"/>
    <w:tmpl w:val="AEE4FD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776A767F"/>
    <w:multiLevelType w:val="multilevel"/>
    <w:tmpl w:val="4E102416"/>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78FC23DE"/>
    <w:multiLevelType w:val="multilevel"/>
    <w:tmpl w:val="8CE81BCE"/>
    <w:lvl w:ilvl="0">
      <w:start w:val="2"/>
      <w:numFmt w:val="bullet"/>
      <w:lvlText w:val="-"/>
      <w:lvlJc w:val="left"/>
      <w:pPr>
        <w:ind w:left="720" w:hanging="360"/>
      </w:pPr>
      <w:rPr>
        <w:rFonts w:ascii="Arial" w:eastAsia="Arial" w:hAnsi="Arial" w:cs="Arial"/>
        <w:sz w:val="23"/>
        <w:szCs w:val="23"/>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7DFE4BCB"/>
    <w:multiLevelType w:val="multilevel"/>
    <w:tmpl w:val="C784A97A"/>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951008448">
    <w:abstractNumId w:val="59"/>
  </w:num>
  <w:num w:numId="2" w16cid:durableId="167526483">
    <w:abstractNumId w:val="46"/>
  </w:num>
  <w:num w:numId="3" w16cid:durableId="1183939911">
    <w:abstractNumId w:val="20"/>
  </w:num>
  <w:num w:numId="4" w16cid:durableId="902834157">
    <w:abstractNumId w:val="19"/>
  </w:num>
  <w:num w:numId="5" w16cid:durableId="1694846867">
    <w:abstractNumId w:val="42"/>
  </w:num>
  <w:num w:numId="6" w16cid:durableId="449327353">
    <w:abstractNumId w:val="25"/>
  </w:num>
  <w:num w:numId="7" w16cid:durableId="1117990555">
    <w:abstractNumId w:val="16"/>
  </w:num>
  <w:num w:numId="8" w16cid:durableId="1356155774">
    <w:abstractNumId w:val="23"/>
  </w:num>
  <w:num w:numId="9" w16cid:durableId="1191336935">
    <w:abstractNumId w:val="43"/>
  </w:num>
  <w:num w:numId="10" w16cid:durableId="1229732420">
    <w:abstractNumId w:val="28"/>
  </w:num>
  <w:num w:numId="11" w16cid:durableId="1029183631">
    <w:abstractNumId w:val="18"/>
  </w:num>
  <w:num w:numId="12" w16cid:durableId="508638674">
    <w:abstractNumId w:val="58"/>
  </w:num>
  <w:num w:numId="13" w16cid:durableId="1782065750">
    <w:abstractNumId w:val="4"/>
  </w:num>
  <w:num w:numId="14" w16cid:durableId="899290274">
    <w:abstractNumId w:val="40"/>
  </w:num>
  <w:num w:numId="15" w16cid:durableId="52125976">
    <w:abstractNumId w:val="26"/>
  </w:num>
  <w:num w:numId="16" w16cid:durableId="319845005">
    <w:abstractNumId w:val="55"/>
  </w:num>
  <w:num w:numId="17" w16cid:durableId="1494296928">
    <w:abstractNumId w:val="34"/>
  </w:num>
  <w:num w:numId="18" w16cid:durableId="2082946094">
    <w:abstractNumId w:val="6"/>
  </w:num>
  <w:num w:numId="19" w16cid:durableId="1328825609">
    <w:abstractNumId w:val="39"/>
  </w:num>
  <w:num w:numId="20" w16cid:durableId="295525052">
    <w:abstractNumId w:val="51"/>
  </w:num>
  <w:num w:numId="21" w16cid:durableId="864757033">
    <w:abstractNumId w:val="21"/>
  </w:num>
  <w:num w:numId="22" w16cid:durableId="1796564059">
    <w:abstractNumId w:val="60"/>
  </w:num>
  <w:num w:numId="23" w16cid:durableId="1323775069">
    <w:abstractNumId w:val="36"/>
  </w:num>
  <w:num w:numId="24" w16cid:durableId="287663186">
    <w:abstractNumId w:val="53"/>
  </w:num>
  <w:num w:numId="25" w16cid:durableId="189880540">
    <w:abstractNumId w:val="22"/>
  </w:num>
  <w:num w:numId="26" w16cid:durableId="941914907">
    <w:abstractNumId w:val="15"/>
  </w:num>
  <w:num w:numId="27" w16cid:durableId="1598244758">
    <w:abstractNumId w:val="17"/>
  </w:num>
  <w:num w:numId="28" w16cid:durableId="224679901">
    <w:abstractNumId w:val="41"/>
  </w:num>
  <w:num w:numId="29" w16cid:durableId="924530323">
    <w:abstractNumId w:val="7"/>
  </w:num>
  <w:num w:numId="30" w16cid:durableId="1582763309">
    <w:abstractNumId w:val="24"/>
  </w:num>
  <w:num w:numId="31" w16cid:durableId="1519584310">
    <w:abstractNumId w:val="32"/>
  </w:num>
  <w:num w:numId="32" w16cid:durableId="547180785">
    <w:abstractNumId w:val="47"/>
  </w:num>
  <w:num w:numId="33" w16cid:durableId="1850832346">
    <w:abstractNumId w:val="54"/>
  </w:num>
  <w:num w:numId="34" w16cid:durableId="1507865068">
    <w:abstractNumId w:val="45"/>
  </w:num>
  <w:num w:numId="35" w16cid:durableId="404185202">
    <w:abstractNumId w:val="57"/>
  </w:num>
  <w:num w:numId="36" w16cid:durableId="982124396">
    <w:abstractNumId w:val="8"/>
  </w:num>
  <w:num w:numId="37" w16cid:durableId="512912506">
    <w:abstractNumId w:val="0"/>
  </w:num>
  <w:num w:numId="38" w16cid:durableId="1878810650">
    <w:abstractNumId w:val="33"/>
  </w:num>
  <w:num w:numId="39" w16cid:durableId="267588790">
    <w:abstractNumId w:val="2"/>
  </w:num>
  <w:num w:numId="40" w16cid:durableId="368379646">
    <w:abstractNumId w:val="12"/>
  </w:num>
  <w:num w:numId="41" w16cid:durableId="1166288254">
    <w:abstractNumId w:val="35"/>
  </w:num>
  <w:num w:numId="42" w16cid:durableId="1447775586">
    <w:abstractNumId w:val="50"/>
  </w:num>
  <w:num w:numId="43" w16cid:durableId="213155294">
    <w:abstractNumId w:val="5"/>
  </w:num>
  <w:num w:numId="44" w16cid:durableId="1229615736">
    <w:abstractNumId w:val="1"/>
  </w:num>
  <w:num w:numId="45" w16cid:durableId="701637778">
    <w:abstractNumId w:val="38"/>
  </w:num>
  <w:num w:numId="46" w16cid:durableId="774399794">
    <w:abstractNumId w:val="49"/>
  </w:num>
  <w:num w:numId="47" w16cid:durableId="1993606745">
    <w:abstractNumId w:val="27"/>
  </w:num>
  <w:num w:numId="48" w16cid:durableId="970091066">
    <w:abstractNumId w:val="37"/>
  </w:num>
  <w:num w:numId="49" w16cid:durableId="1456483000">
    <w:abstractNumId w:val="13"/>
  </w:num>
  <w:num w:numId="50" w16cid:durableId="1998419866">
    <w:abstractNumId w:val="31"/>
  </w:num>
  <w:num w:numId="51" w16cid:durableId="2122331722">
    <w:abstractNumId w:val="56"/>
  </w:num>
  <w:num w:numId="52" w16cid:durableId="351807936">
    <w:abstractNumId w:val="52"/>
  </w:num>
  <w:num w:numId="53" w16cid:durableId="1651785564">
    <w:abstractNumId w:val="44"/>
  </w:num>
  <w:num w:numId="54" w16cid:durableId="249967271">
    <w:abstractNumId w:val="11"/>
  </w:num>
  <w:num w:numId="55" w16cid:durableId="303705582">
    <w:abstractNumId w:val="29"/>
  </w:num>
  <w:num w:numId="56" w16cid:durableId="660428358">
    <w:abstractNumId w:val="10"/>
  </w:num>
  <w:num w:numId="57" w16cid:durableId="280695385">
    <w:abstractNumId w:val="3"/>
  </w:num>
  <w:num w:numId="58" w16cid:durableId="322130342">
    <w:abstractNumId w:val="14"/>
  </w:num>
  <w:num w:numId="59" w16cid:durableId="2100370989">
    <w:abstractNumId w:val="48"/>
  </w:num>
  <w:num w:numId="60" w16cid:durableId="1489243538">
    <w:abstractNumId w:val="30"/>
  </w:num>
  <w:num w:numId="61" w16cid:durableId="7019743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AD5"/>
    <w:rsid w:val="00036772"/>
    <w:rsid w:val="000420D6"/>
    <w:rsid w:val="000B5569"/>
    <w:rsid w:val="00156B7B"/>
    <w:rsid w:val="001654B6"/>
    <w:rsid w:val="001F1381"/>
    <w:rsid w:val="00214287"/>
    <w:rsid w:val="002159C4"/>
    <w:rsid w:val="00222526"/>
    <w:rsid w:val="00222747"/>
    <w:rsid w:val="002274A7"/>
    <w:rsid w:val="002775D5"/>
    <w:rsid w:val="0029507D"/>
    <w:rsid w:val="002C6D1E"/>
    <w:rsid w:val="002D5FD9"/>
    <w:rsid w:val="002F5AC7"/>
    <w:rsid w:val="00314CEC"/>
    <w:rsid w:val="003C7112"/>
    <w:rsid w:val="004432EB"/>
    <w:rsid w:val="004E718E"/>
    <w:rsid w:val="00523D2F"/>
    <w:rsid w:val="005670B8"/>
    <w:rsid w:val="00572AD5"/>
    <w:rsid w:val="005D74DD"/>
    <w:rsid w:val="005F47FF"/>
    <w:rsid w:val="005F4D86"/>
    <w:rsid w:val="00624703"/>
    <w:rsid w:val="006D44DA"/>
    <w:rsid w:val="006D529A"/>
    <w:rsid w:val="006F10FB"/>
    <w:rsid w:val="00752644"/>
    <w:rsid w:val="00770AE2"/>
    <w:rsid w:val="0077390D"/>
    <w:rsid w:val="00793D45"/>
    <w:rsid w:val="007A4B53"/>
    <w:rsid w:val="00871039"/>
    <w:rsid w:val="0087646A"/>
    <w:rsid w:val="00882268"/>
    <w:rsid w:val="008A325B"/>
    <w:rsid w:val="00905730"/>
    <w:rsid w:val="009E73C1"/>
    <w:rsid w:val="00A222E8"/>
    <w:rsid w:val="00A52716"/>
    <w:rsid w:val="00A657E5"/>
    <w:rsid w:val="00A8745B"/>
    <w:rsid w:val="00AE719D"/>
    <w:rsid w:val="00B06534"/>
    <w:rsid w:val="00B50512"/>
    <w:rsid w:val="00BF5A27"/>
    <w:rsid w:val="00C05FE5"/>
    <w:rsid w:val="00C2129A"/>
    <w:rsid w:val="00C703F1"/>
    <w:rsid w:val="00CA1283"/>
    <w:rsid w:val="00CF2B6F"/>
    <w:rsid w:val="00D066C8"/>
    <w:rsid w:val="00D06C7D"/>
    <w:rsid w:val="00D34E17"/>
    <w:rsid w:val="00D5373E"/>
    <w:rsid w:val="00D6411F"/>
    <w:rsid w:val="00D95A37"/>
    <w:rsid w:val="00DE0128"/>
    <w:rsid w:val="00DF1EEA"/>
    <w:rsid w:val="00E37415"/>
    <w:rsid w:val="00E71FC5"/>
    <w:rsid w:val="00E85F04"/>
    <w:rsid w:val="00EC57F2"/>
    <w:rsid w:val="00F4552B"/>
    <w:rsid w:val="00F846B3"/>
    <w:rsid w:val="00FC101F"/>
    <w:rsid w:val="00FD2D3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9FA568"/>
  <w15:docId w15:val="{BEACD081-95B5-43A7-B024-27A16A3CF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sz w:val="32"/>
      <w:szCs w:val="32"/>
    </w:rPr>
  </w:style>
  <w:style w:type="paragraph" w:styleId="Ttulo2">
    <w:name w:val="heading 2"/>
    <w:basedOn w:val="Normal"/>
    <w:next w:val="Normal"/>
    <w:uiPriority w:val="9"/>
    <w:unhideWhenUsed/>
    <w:qFormat/>
    <w:pPr>
      <w:keepNext/>
      <w:spacing w:before="240" w:after="60"/>
      <w:outlineLvl w:val="1"/>
    </w:pPr>
    <w:rPr>
      <w:rFonts w:ascii="Cambria" w:eastAsia="Cambria" w:hAnsi="Cambria" w:cs="Cambria"/>
      <w:b/>
      <w:i/>
      <w:sz w:val="28"/>
      <w:szCs w:val="28"/>
    </w:rPr>
  </w:style>
  <w:style w:type="paragraph" w:styleId="Ttulo3">
    <w:name w:val="heading 3"/>
    <w:basedOn w:val="Normal"/>
    <w:next w:val="Normal"/>
    <w:uiPriority w:val="9"/>
    <w:semiHidden/>
    <w:unhideWhenUsed/>
    <w:qFormat/>
    <w:pPr>
      <w:keepNext/>
      <w:spacing w:before="240" w:line="360" w:lineRule="auto"/>
      <w:ind w:left="720" w:hanging="720"/>
      <w:jc w:val="center"/>
      <w:outlineLvl w:val="2"/>
    </w:pPr>
    <w:rPr>
      <w:rFonts w:ascii="Arial" w:eastAsia="Arial" w:hAnsi="Arial" w:cs="Arial"/>
      <w:b/>
      <w:color w:val="000000"/>
      <w:sz w:val="22"/>
      <w:szCs w:val="22"/>
    </w:rPr>
  </w:style>
  <w:style w:type="paragraph" w:styleId="Ttulo4">
    <w:name w:val="heading 4"/>
    <w:basedOn w:val="Normal"/>
    <w:next w:val="Normal"/>
    <w:uiPriority w:val="9"/>
    <w:semiHidden/>
    <w:unhideWhenUsed/>
    <w:qFormat/>
    <w:pPr>
      <w:keepNext/>
      <w:keepLines/>
      <w:spacing w:before="200"/>
      <w:ind w:left="864" w:hanging="864"/>
      <w:outlineLvl w:val="3"/>
    </w:pPr>
    <w:rPr>
      <w:rFonts w:ascii="Cambria" w:eastAsia="Cambria" w:hAnsi="Cambria" w:cs="Cambria"/>
      <w:b/>
      <w:i/>
      <w:color w:val="4F81BD"/>
    </w:rPr>
  </w:style>
  <w:style w:type="paragraph" w:styleId="Ttulo5">
    <w:name w:val="heading 5"/>
    <w:basedOn w:val="Normal"/>
    <w:next w:val="Normal"/>
    <w:uiPriority w:val="9"/>
    <w:semiHidden/>
    <w:unhideWhenUsed/>
    <w:qFormat/>
    <w:pPr>
      <w:keepNext/>
      <w:keepLines/>
      <w:spacing w:before="200"/>
      <w:ind w:left="1008" w:hanging="1008"/>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ind w:left="1152" w:hanging="1152"/>
      <w:outlineLvl w:val="5"/>
    </w:pPr>
    <w:rPr>
      <w:rFonts w:ascii="Cambria" w:eastAsia="Cambria" w:hAnsi="Cambria" w:cs="Cambria"/>
      <w:i/>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rPr>
      <w:rFonts w:ascii="Calibri" w:eastAsia="Calibri" w:hAnsi="Calibri" w:cs="Calibri"/>
      <w:sz w:val="56"/>
      <w:szCs w:val="5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left w:w="70" w:type="dxa"/>
        <w:right w:w="70" w:type="dxa"/>
      </w:tblCellMar>
    </w:tblPr>
  </w:style>
  <w:style w:type="table" w:customStyle="1" w:styleId="ab">
    <w:basedOn w:val="TableNormal"/>
    <w:pPr>
      <w:widowControl w:val="0"/>
    </w:pPr>
    <w:rPr>
      <w:rFonts w:ascii="Calibri" w:eastAsia="Calibri" w:hAnsi="Calibri" w:cs="Calibri"/>
      <w:sz w:val="22"/>
      <w:szCs w:val="22"/>
    </w:rPr>
    <w:tblPr>
      <w:tblStyleRowBandSize w:val="1"/>
      <w:tblStyleColBandSize w:val="1"/>
    </w:tblPr>
  </w:style>
  <w:style w:type="table" w:customStyle="1" w:styleId="ac">
    <w:basedOn w:val="TableNormal"/>
    <w:tblPr>
      <w:tblStyleRowBandSize w:val="1"/>
      <w:tblStyleColBandSize w:val="1"/>
      <w:tblCellMar>
        <w:left w:w="70" w:type="dxa"/>
        <w:right w:w="70"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70" w:type="dxa"/>
        <w:right w:w="70" w:type="dxa"/>
      </w:tblCellMar>
    </w:tblPr>
  </w:style>
  <w:style w:type="table" w:customStyle="1" w:styleId="af4">
    <w:basedOn w:val="TableNormal"/>
    <w:tblPr>
      <w:tblStyleRowBandSize w:val="1"/>
      <w:tblStyleColBandSize w:val="1"/>
      <w:tblCellMar>
        <w:left w:w="70" w:type="dxa"/>
        <w:right w:w="70" w:type="dxa"/>
      </w:tblCellMar>
    </w:tblPr>
  </w:style>
  <w:style w:type="table" w:customStyle="1" w:styleId="af5">
    <w:basedOn w:val="TableNormal"/>
    <w:tblPr>
      <w:tblStyleRowBandSize w:val="1"/>
      <w:tblStyleColBandSize w:val="1"/>
      <w:tblCellMar>
        <w:left w:w="70" w:type="dxa"/>
        <w:right w:w="70" w:type="dxa"/>
      </w:tblCellMar>
    </w:tblPr>
  </w:style>
  <w:style w:type="table" w:customStyle="1" w:styleId="af6">
    <w:basedOn w:val="TableNormal"/>
    <w:tblPr>
      <w:tblStyleRowBandSize w:val="1"/>
      <w:tblStyleColBandSize w:val="1"/>
      <w:tblCellMar>
        <w:left w:w="70" w:type="dxa"/>
        <w:right w:w="70" w:type="dxa"/>
      </w:tblCellMar>
    </w:tblPr>
  </w:style>
  <w:style w:type="table" w:customStyle="1" w:styleId="af7">
    <w:basedOn w:val="TableNormal"/>
    <w:tblPr>
      <w:tblStyleRowBandSize w:val="1"/>
      <w:tblStyleColBandSize w:val="1"/>
      <w:tblCellMar>
        <w:left w:w="70" w:type="dxa"/>
        <w:right w:w="70" w:type="dxa"/>
      </w:tblCellMar>
    </w:tblPr>
  </w:style>
  <w:style w:type="table" w:customStyle="1" w:styleId="af8">
    <w:basedOn w:val="TableNormal"/>
    <w:tblPr>
      <w:tblStyleRowBandSize w:val="1"/>
      <w:tblStyleColBandSize w:val="1"/>
      <w:tblCellMar>
        <w:left w:w="70" w:type="dxa"/>
        <w:right w:w="70" w:type="dxa"/>
      </w:tblCellMar>
    </w:tblPr>
  </w:style>
  <w:style w:type="table" w:customStyle="1" w:styleId="TableNormal0">
    <w:name w:val="Table Normal"/>
    <w:uiPriority w:val="2"/>
    <w:semiHidden/>
    <w:unhideWhenUsed/>
    <w:qFormat/>
    <w:rsid w:val="002F5AC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5AC7"/>
    <w:pPr>
      <w:widowControl w:val="0"/>
      <w:autoSpaceDE w:val="0"/>
      <w:autoSpaceDN w:val="0"/>
      <w:jc w:val="center"/>
    </w:pPr>
    <w:rPr>
      <w:rFonts w:ascii="Arial MT" w:eastAsia="Arial MT" w:hAnsi="Arial MT" w:cs="Arial MT"/>
      <w:sz w:val="22"/>
      <w:szCs w:val="22"/>
      <w:lang w:val="es-ES" w:eastAsia="en-US"/>
    </w:rPr>
  </w:style>
  <w:style w:type="table" w:styleId="Tablaconcuadrcula">
    <w:name w:val="Table Grid"/>
    <w:basedOn w:val="Tablanormal"/>
    <w:uiPriority w:val="39"/>
    <w:rsid w:val="00E71F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D2D35"/>
    <w:pPr>
      <w:ind w:left="720"/>
      <w:contextualSpacing/>
    </w:pPr>
  </w:style>
  <w:style w:type="character" w:styleId="Hipervnculo">
    <w:name w:val="Hyperlink"/>
    <w:basedOn w:val="Fuentedeprrafopredeter"/>
    <w:uiPriority w:val="99"/>
    <w:unhideWhenUsed/>
    <w:rsid w:val="006D44DA"/>
    <w:rPr>
      <w:color w:val="0000FF" w:themeColor="hyperlink"/>
      <w:u w:val="single"/>
    </w:rPr>
  </w:style>
  <w:style w:type="character" w:styleId="Mencinsinresolver">
    <w:name w:val="Unresolved Mention"/>
    <w:basedOn w:val="Fuentedeprrafopredeter"/>
    <w:uiPriority w:val="99"/>
    <w:semiHidden/>
    <w:unhideWhenUsed/>
    <w:rsid w:val="006D44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767072">
      <w:marLeft w:val="0"/>
      <w:marRight w:val="0"/>
      <w:marTop w:val="0"/>
      <w:marBottom w:val="0"/>
      <w:divBdr>
        <w:top w:val="none" w:sz="0" w:space="0" w:color="auto"/>
        <w:left w:val="none" w:sz="0" w:space="0" w:color="auto"/>
        <w:bottom w:val="none" w:sz="0" w:space="0" w:color="auto"/>
        <w:right w:val="none" w:sz="0" w:space="0" w:color="auto"/>
      </w:divBdr>
    </w:div>
    <w:div w:id="151140912">
      <w:bodyDiv w:val="1"/>
      <w:marLeft w:val="0"/>
      <w:marRight w:val="0"/>
      <w:marTop w:val="0"/>
      <w:marBottom w:val="0"/>
      <w:divBdr>
        <w:top w:val="none" w:sz="0" w:space="0" w:color="auto"/>
        <w:left w:val="none" w:sz="0" w:space="0" w:color="auto"/>
        <w:bottom w:val="none" w:sz="0" w:space="0" w:color="auto"/>
        <w:right w:val="none" w:sz="0" w:space="0" w:color="auto"/>
      </w:divBdr>
    </w:div>
    <w:div w:id="242690359">
      <w:bodyDiv w:val="1"/>
      <w:marLeft w:val="0"/>
      <w:marRight w:val="0"/>
      <w:marTop w:val="0"/>
      <w:marBottom w:val="0"/>
      <w:divBdr>
        <w:top w:val="none" w:sz="0" w:space="0" w:color="auto"/>
        <w:left w:val="none" w:sz="0" w:space="0" w:color="auto"/>
        <w:bottom w:val="none" w:sz="0" w:space="0" w:color="auto"/>
        <w:right w:val="none" w:sz="0" w:space="0" w:color="auto"/>
      </w:divBdr>
      <w:divsChild>
        <w:div w:id="403651669">
          <w:marLeft w:val="0"/>
          <w:marRight w:val="0"/>
          <w:marTop w:val="0"/>
          <w:marBottom w:val="0"/>
          <w:divBdr>
            <w:top w:val="none" w:sz="0" w:space="0" w:color="auto"/>
            <w:left w:val="none" w:sz="0" w:space="0" w:color="auto"/>
            <w:bottom w:val="none" w:sz="0" w:space="0" w:color="auto"/>
            <w:right w:val="none" w:sz="0" w:space="0" w:color="auto"/>
          </w:divBdr>
        </w:div>
        <w:div w:id="630205953">
          <w:marLeft w:val="0"/>
          <w:marRight w:val="0"/>
          <w:marTop w:val="0"/>
          <w:marBottom w:val="0"/>
          <w:divBdr>
            <w:top w:val="none" w:sz="0" w:space="0" w:color="auto"/>
            <w:left w:val="none" w:sz="0" w:space="0" w:color="auto"/>
            <w:bottom w:val="none" w:sz="0" w:space="0" w:color="auto"/>
            <w:right w:val="none" w:sz="0" w:space="0" w:color="auto"/>
          </w:divBdr>
        </w:div>
        <w:div w:id="1783378344">
          <w:marLeft w:val="0"/>
          <w:marRight w:val="0"/>
          <w:marTop w:val="0"/>
          <w:marBottom w:val="0"/>
          <w:divBdr>
            <w:top w:val="none" w:sz="0" w:space="0" w:color="auto"/>
            <w:left w:val="none" w:sz="0" w:space="0" w:color="auto"/>
            <w:bottom w:val="none" w:sz="0" w:space="0" w:color="auto"/>
            <w:right w:val="none" w:sz="0" w:space="0" w:color="auto"/>
          </w:divBdr>
        </w:div>
      </w:divsChild>
    </w:div>
    <w:div w:id="333342929">
      <w:bodyDiv w:val="1"/>
      <w:marLeft w:val="0"/>
      <w:marRight w:val="0"/>
      <w:marTop w:val="0"/>
      <w:marBottom w:val="0"/>
      <w:divBdr>
        <w:top w:val="none" w:sz="0" w:space="0" w:color="auto"/>
        <w:left w:val="none" w:sz="0" w:space="0" w:color="auto"/>
        <w:bottom w:val="none" w:sz="0" w:space="0" w:color="auto"/>
        <w:right w:val="none" w:sz="0" w:space="0" w:color="auto"/>
      </w:divBdr>
      <w:divsChild>
        <w:div w:id="813640952">
          <w:marLeft w:val="0"/>
          <w:marRight w:val="0"/>
          <w:marTop w:val="0"/>
          <w:marBottom w:val="0"/>
          <w:divBdr>
            <w:top w:val="none" w:sz="0" w:space="0" w:color="auto"/>
            <w:left w:val="none" w:sz="0" w:space="0" w:color="auto"/>
            <w:bottom w:val="none" w:sz="0" w:space="0" w:color="auto"/>
            <w:right w:val="none" w:sz="0" w:space="0" w:color="auto"/>
          </w:divBdr>
        </w:div>
        <w:div w:id="739402049">
          <w:marLeft w:val="0"/>
          <w:marRight w:val="0"/>
          <w:marTop w:val="0"/>
          <w:marBottom w:val="0"/>
          <w:divBdr>
            <w:top w:val="none" w:sz="0" w:space="0" w:color="auto"/>
            <w:left w:val="none" w:sz="0" w:space="0" w:color="auto"/>
            <w:bottom w:val="none" w:sz="0" w:space="0" w:color="auto"/>
            <w:right w:val="none" w:sz="0" w:space="0" w:color="auto"/>
          </w:divBdr>
        </w:div>
        <w:div w:id="391081152">
          <w:marLeft w:val="0"/>
          <w:marRight w:val="0"/>
          <w:marTop w:val="0"/>
          <w:marBottom w:val="0"/>
          <w:divBdr>
            <w:top w:val="none" w:sz="0" w:space="0" w:color="auto"/>
            <w:left w:val="none" w:sz="0" w:space="0" w:color="auto"/>
            <w:bottom w:val="none" w:sz="0" w:space="0" w:color="auto"/>
            <w:right w:val="none" w:sz="0" w:space="0" w:color="auto"/>
          </w:divBdr>
        </w:div>
        <w:div w:id="190458428">
          <w:marLeft w:val="0"/>
          <w:marRight w:val="0"/>
          <w:marTop w:val="0"/>
          <w:marBottom w:val="0"/>
          <w:divBdr>
            <w:top w:val="none" w:sz="0" w:space="0" w:color="auto"/>
            <w:left w:val="none" w:sz="0" w:space="0" w:color="auto"/>
            <w:bottom w:val="none" w:sz="0" w:space="0" w:color="auto"/>
            <w:right w:val="none" w:sz="0" w:space="0" w:color="auto"/>
          </w:divBdr>
        </w:div>
        <w:div w:id="1641380453">
          <w:marLeft w:val="0"/>
          <w:marRight w:val="0"/>
          <w:marTop w:val="0"/>
          <w:marBottom w:val="0"/>
          <w:divBdr>
            <w:top w:val="none" w:sz="0" w:space="0" w:color="auto"/>
            <w:left w:val="none" w:sz="0" w:space="0" w:color="auto"/>
            <w:bottom w:val="none" w:sz="0" w:space="0" w:color="auto"/>
            <w:right w:val="none" w:sz="0" w:space="0" w:color="auto"/>
          </w:divBdr>
        </w:div>
        <w:div w:id="463812124">
          <w:marLeft w:val="0"/>
          <w:marRight w:val="0"/>
          <w:marTop w:val="0"/>
          <w:marBottom w:val="0"/>
          <w:divBdr>
            <w:top w:val="none" w:sz="0" w:space="0" w:color="auto"/>
            <w:left w:val="none" w:sz="0" w:space="0" w:color="auto"/>
            <w:bottom w:val="none" w:sz="0" w:space="0" w:color="auto"/>
            <w:right w:val="none" w:sz="0" w:space="0" w:color="auto"/>
          </w:divBdr>
        </w:div>
        <w:div w:id="1277718081">
          <w:marLeft w:val="0"/>
          <w:marRight w:val="0"/>
          <w:marTop w:val="0"/>
          <w:marBottom w:val="0"/>
          <w:divBdr>
            <w:top w:val="none" w:sz="0" w:space="0" w:color="auto"/>
            <w:left w:val="none" w:sz="0" w:space="0" w:color="auto"/>
            <w:bottom w:val="none" w:sz="0" w:space="0" w:color="auto"/>
            <w:right w:val="none" w:sz="0" w:space="0" w:color="auto"/>
          </w:divBdr>
        </w:div>
        <w:div w:id="1717509238">
          <w:marLeft w:val="0"/>
          <w:marRight w:val="0"/>
          <w:marTop w:val="0"/>
          <w:marBottom w:val="0"/>
          <w:divBdr>
            <w:top w:val="none" w:sz="0" w:space="0" w:color="auto"/>
            <w:left w:val="none" w:sz="0" w:space="0" w:color="auto"/>
            <w:bottom w:val="none" w:sz="0" w:space="0" w:color="auto"/>
            <w:right w:val="none" w:sz="0" w:space="0" w:color="auto"/>
          </w:divBdr>
        </w:div>
        <w:div w:id="1867400601">
          <w:marLeft w:val="0"/>
          <w:marRight w:val="0"/>
          <w:marTop w:val="0"/>
          <w:marBottom w:val="0"/>
          <w:divBdr>
            <w:top w:val="none" w:sz="0" w:space="0" w:color="auto"/>
            <w:left w:val="none" w:sz="0" w:space="0" w:color="auto"/>
            <w:bottom w:val="none" w:sz="0" w:space="0" w:color="auto"/>
            <w:right w:val="none" w:sz="0" w:space="0" w:color="auto"/>
          </w:divBdr>
        </w:div>
        <w:div w:id="1938250961">
          <w:marLeft w:val="0"/>
          <w:marRight w:val="0"/>
          <w:marTop w:val="0"/>
          <w:marBottom w:val="0"/>
          <w:divBdr>
            <w:top w:val="none" w:sz="0" w:space="0" w:color="auto"/>
            <w:left w:val="none" w:sz="0" w:space="0" w:color="auto"/>
            <w:bottom w:val="none" w:sz="0" w:space="0" w:color="auto"/>
            <w:right w:val="none" w:sz="0" w:space="0" w:color="auto"/>
          </w:divBdr>
        </w:div>
        <w:div w:id="1444183851">
          <w:marLeft w:val="0"/>
          <w:marRight w:val="0"/>
          <w:marTop w:val="0"/>
          <w:marBottom w:val="0"/>
          <w:divBdr>
            <w:top w:val="none" w:sz="0" w:space="0" w:color="auto"/>
            <w:left w:val="none" w:sz="0" w:space="0" w:color="auto"/>
            <w:bottom w:val="none" w:sz="0" w:space="0" w:color="auto"/>
            <w:right w:val="none" w:sz="0" w:space="0" w:color="auto"/>
          </w:divBdr>
        </w:div>
        <w:div w:id="834149703">
          <w:marLeft w:val="0"/>
          <w:marRight w:val="0"/>
          <w:marTop w:val="0"/>
          <w:marBottom w:val="0"/>
          <w:divBdr>
            <w:top w:val="none" w:sz="0" w:space="0" w:color="auto"/>
            <w:left w:val="none" w:sz="0" w:space="0" w:color="auto"/>
            <w:bottom w:val="none" w:sz="0" w:space="0" w:color="auto"/>
            <w:right w:val="none" w:sz="0" w:space="0" w:color="auto"/>
          </w:divBdr>
        </w:div>
        <w:div w:id="1906718080">
          <w:marLeft w:val="0"/>
          <w:marRight w:val="0"/>
          <w:marTop w:val="0"/>
          <w:marBottom w:val="0"/>
          <w:divBdr>
            <w:top w:val="none" w:sz="0" w:space="0" w:color="auto"/>
            <w:left w:val="none" w:sz="0" w:space="0" w:color="auto"/>
            <w:bottom w:val="none" w:sz="0" w:space="0" w:color="auto"/>
            <w:right w:val="none" w:sz="0" w:space="0" w:color="auto"/>
          </w:divBdr>
        </w:div>
        <w:div w:id="230164772">
          <w:marLeft w:val="0"/>
          <w:marRight w:val="0"/>
          <w:marTop w:val="0"/>
          <w:marBottom w:val="0"/>
          <w:divBdr>
            <w:top w:val="none" w:sz="0" w:space="0" w:color="auto"/>
            <w:left w:val="none" w:sz="0" w:space="0" w:color="auto"/>
            <w:bottom w:val="none" w:sz="0" w:space="0" w:color="auto"/>
            <w:right w:val="none" w:sz="0" w:space="0" w:color="auto"/>
          </w:divBdr>
        </w:div>
        <w:div w:id="863707951">
          <w:marLeft w:val="0"/>
          <w:marRight w:val="0"/>
          <w:marTop w:val="0"/>
          <w:marBottom w:val="0"/>
          <w:divBdr>
            <w:top w:val="none" w:sz="0" w:space="0" w:color="auto"/>
            <w:left w:val="none" w:sz="0" w:space="0" w:color="auto"/>
            <w:bottom w:val="none" w:sz="0" w:space="0" w:color="auto"/>
            <w:right w:val="none" w:sz="0" w:space="0" w:color="auto"/>
          </w:divBdr>
        </w:div>
        <w:div w:id="1452675858">
          <w:marLeft w:val="0"/>
          <w:marRight w:val="0"/>
          <w:marTop w:val="0"/>
          <w:marBottom w:val="0"/>
          <w:divBdr>
            <w:top w:val="none" w:sz="0" w:space="0" w:color="auto"/>
            <w:left w:val="none" w:sz="0" w:space="0" w:color="auto"/>
            <w:bottom w:val="none" w:sz="0" w:space="0" w:color="auto"/>
            <w:right w:val="none" w:sz="0" w:space="0" w:color="auto"/>
          </w:divBdr>
        </w:div>
        <w:div w:id="767039383">
          <w:marLeft w:val="0"/>
          <w:marRight w:val="0"/>
          <w:marTop w:val="0"/>
          <w:marBottom w:val="0"/>
          <w:divBdr>
            <w:top w:val="none" w:sz="0" w:space="0" w:color="auto"/>
            <w:left w:val="none" w:sz="0" w:space="0" w:color="auto"/>
            <w:bottom w:val="none" w:sz="0" w:space="0" w:color="auto"/>
            <w:right w:val="none" w:sz="0" w:space="0" w:color="auto"/>
          </w:divBdr>
        </w:div>
        <w:div w:id="2137529439">
          <w:marLeft w:val="0"/>
          <w:marRight w:val="0"/>
          <w:marTop w:val="0"/>
          <w:marBottom w:val="0"/>
          <w:divBdr>
            <w:top w:val="none" w:sz="0" w:space="0" w:color="auto"/>
            <w:left w:val="none" w:sz="0" w:space="0" w:color="auto"/>
            <w:bottom w:val="none" w:sz="0" w:space="0" w:color="auto"/>
            <w:right w:val="none" w:sz="0" w:space="0" w:color="auto"/>
          </w:divBdr>
        </w:div>
        <w:div w:id="1041781994">
          <w:marLeft w:val="0"/>
          <w:marRight w:val="0"/>
          <w:marTop w:val="0"/>
          <w:marBottom w:val="0"/>
          <w:divBdr>
            <w:top w:val="none" w:sz="0" w:space="0" w:color="auto"/>
            <w:left w:val="none" w:sz="0" w:space="0" w:color="auto"/>
            <w:bottom w:val="none" w:sz="0" w:space="0" w:color="auto"/>
            <w:right w:val="none" w:sz="0" w:space="0" w:color="auto"/>
          </w:divBdr>
        </w:div>
        <w:div w:id="1013260643">
          <w:marLeft w:val="0"/>
          <w:marRight w:val="0"/>
          <w:marTop w:val="0"/>
          <w:marBottom w:val="0"/>
          <w:divBdr>
            <w:top w:val="none" w:sz="0" w:space="0" w:color="auto"/>
            <w:left w:val="none" w:sz="0" w:space="0" w:color="auto"/>
            <w:bottom w:val="none" w:sz="0" w:space="0" w:color="auto"/>
            <w:right w:val="none" w:sz="0" w:space="0" w:color="auto"/>
          </w:divBdr>
        </w:div>
        <w:div w:id="1833373524">
          <w:marLeft w:val="0"/>
          <w:marRight w:val="0"/>
          <w:marTop w:val="0"/>
          <w:marBottom w:val="0"/>
          <w:divBdr>
            <w:top w:val="none" w:sz="0" w:space="0" w:color="auto"/>
            <w:left w:val="none" w:sz="0" w:space="0" w:color="auto"/>
            <w:bottom w:val="none" w:sz="0" w:space="0" w:color="auto"/>
            <w:right w:val="none" w:sz="0" w:space="0" w:color="auto"/>
          </w:divBdr>
        </w:div>
        <w:div w:id="1699508672">
          <w:marLeft w:val="0"/>
          <w:marRight w:val="0"/>
          <w:marTop w:val="0"/>
          <w:marBottom w:val="0"/>
          <w:divBdr>
            <w:top w:val="none" w:sz="0" w:space="0" w:color="auto"/>
            <w:left w:val="none" w:sz="0" w:space="0" w:color="auto"/>
            <w:bottom w:val="none" w:sz="0" w:space="0" w:color="auto"/>
            <w:right w:val="none" w:sz="0" w:space="0" w:color="auto"/>
          </w:divBdr>
        </w:div>
        <w:div w:id="2014910932">
          <w:marLeft w:val="0"/>
          <w:marRight w:val="0"/>
          <w:marTop w:val="0"/>
          <w:marBottom w:val="0"/>
          <w:divBdr>
            <w:top w:val="none" w:sz="0" w:space="0" w:color="auto"/>
            <w:left w:val="none" w:sz="0" w:space="0" w:color="auto"/>
            <w:bottom w:val="none" w:sz="0" w:space="0" w:color="auto"/>
            <w:right w:val="none" w:sz="0" w:space="0" w:color="auto"/>
          </w:divBdr>
        </w:div>
        <w:div w:id="1789541839">
          <w:marLeft w:val="0"/>
          <w:marRight w:val="0"/>
          <w:marTop w:val="0"/>
          <w:marBottom w:val="0"/>
          <w:divBdr>
            <w:top w:val="none" w:sz="0" w:space="0" w:color="auto"/>
            <w:left w:val="none" w:sz="0" w:space="0" w:color="auto"/>
            <w:bottom w:val="none" w:sz="0" w:space="0" w:color="auto"/>
            <w:right w:val="none" w:sz="0" w:space="0" w:color="auto"/>
          </w:divBdr>
        </w:div>
        <w:div w:id="954676489">
          <w:marLeft w:val="0"/>
          <w:marRight w:val="0"/>
          <w:marTop w:val="0"/>
          <w:marBottom w:val="0"/>
          <w:divBdr>
            <w:top w:val="none" w:sz="0" w:space="0" w:color="auto"/>
            <w:left w:val="none" w:sz="0" w:space="0" w:color="auto"/>
            <w:bottom w:val="none" w:sz="0" w:space="0" w:color="auto"/>
            <w:right w:val="none" w:sz="0" w:space="0" w:color="auto"/>
          </w:divBdr>
        </w:div>
        <w:div w:id="824009866">
          <w:marLeft w:val="0"/>
          <w:marRight w:val="0"/>
          <w:marTop w:val="0"/>
          <w:marBottom w:val="0"/>
          <w:divBdr>
            <w:top w:val="none" w:sz="0" w:space="0" w:color="auto"/>
            <w:left w:val="none" w:sz="0" w:space="0" w:color="auto"/>
            <w:bottom w:val="none" w:sz="0" w:space="0" w:color="auto"/>
            <w:right w:val="none" w:sz="0" w:space="0" w:color="auto"/>
          </w:divBdr>
        </w:div>
        <w:div w:id="983317716">
          <w:marLeft w:val="0"/>
          <w:marRight w:val="0"/>
          <w:marTop w:val="0"/>
          <w:marBottom w:val="0"/>
          <w:divBdr>
            <w:top w:val="none" w:sz="0" w:space="0" w:color="auto"/>
            <w:left w:val="none" w:sz="0" w:space="0" w:color="auto"/>
            <w:bottom w:val="none" w:sz="0" w:space="0" w:color="auto"/>
            <w:right w:val="none" w:sz="0" w:space="0" w:color="auto"/>
          </w:divBdr>
        </w:div>
        <w:div w:id="558444258">
          <w:marLeft w:val="0"/>
          <w:marRight w:val="0"/>
          <w:marTop w:val="0"/>
          <w:marBottom w:val="0"/>
          <w:divBdr>
            <w:top w:val="none" w:sz="0" w:space="0" w:color="auto"/>
            <w:left w:val="none" w:sz="0" w:space="0" w:color="auto"/>
            <w:bottom w:val="none" w:sz="0" w:space="0" w:color="auto"/>
            <w:right w:val="none" w:sz="0" w:space="0" w:color="auto"/>
          </w:divBdr>
        </w:div>
        <w:div w:id="534002347">
          <w:marLeft w:val="0"/>
          <w:marRight w:val="0"/>
          <w:marTop w:val="0"/>
          <w:marBottom w:val="0"/>
          <w:divBdr>
            <w:top w:val="none" w:sz="0" w:space="0" w:color="auto"/>
            <w:left w:val="none" w:sz="0" w:space="0" w:color="auto"/>
            <w:bottom w:val="none" w:sz="0" w:space="0" w:color="auto"/>
            <w:right w:val="none" w:sz="0" w:space="0" w:color="auto"/>
          </w:divBdr>
        </w:div>
        <w:div w:id="1056977972">
          <w:marLeft w:val="0"/>
          <w:marRight w:val="0"/>
          <w:marTop w:val="0"/>
          <w:marBottom w:val="0"/>
          <w:divBdr>
            <w:top w:val="none" w:sz="0" w:space="0" w:color="auto"/>
            <w:left w:val="none" w:sz="0" w:space="0" w:color="auto"/>
            <w:bottom w:val="none" w:sz="0" w:space="0" w:color="auto"/>
            <w:right w:val="none" w:sz="0" w:space="0" w:color="auto"/>
          </w:divBdr>
        </w:div>
        <w:div w:id="1791708263">
          <w:marLeft w:val="0"/>
          <w:marRight w:val="0"/>
          <w:marTop w:val="0"/>
          <w:marBottom w:val="0"/>
          <w:divBdr>
            <w:top w:val="none" w:sz="0" w:space="0" w:color="auto"/>
            <w:left w:val="none" w:sz="0" w:space="0" w:color="auto"/>
            <w:bottom w:val="none" w:sz="0" w:space="0" w:color="auto"/>
            <w:right w:val="none" w:sz="0" w:space="0" w:color="auto"/>
          </w:divBdr>
        </w:div>
        <w:div w:id="616064018">
          <w:marLeft w:val="0"/>
          <w:marRight w:val="0"/>
          <w:marTop w:val="0"/>
          <w:marBottom w:val="0"/>
          <w:divBdr>
            <w:top w:val="none" w:sz="0" w:space="0" w:color="auto"/>
            <w:left w:val="none" w:sz="0" w:space="0" w:color="auto"/>
            <w:bottom w:val="none" w:sz="0" w:space="0" w:color="auto"/>
            <w:right w:val="none" w:sz="0" w:space="0" w:color="auto"/>
          </w:divBdr>
        </w:div>
        <w:div w:id="448470786">
          <w:marLeft w:val="0"/>
          <w:marRight w:val="0"/>
          <w:marTop w:val="0"/>
          <w:marBottom w:val="0"/>
          <w:divBdr>
            <w:top w:val="none" w:sz="0" w:space="0" w:color="auto"/>
            <w:left w:val="none" w:sz="0" w:space="0" w:color="auto"/>
            <w:bottom w:val="none" w:sz="0" w:space="0" w:color="auto"/>
            <w:right w:val="none" w:sz="0" w:space="0" w:color="auto"/>
          </w:divBdr>
        </w:div>
        <w:div w:id="831339915">
          <w:marLeft w:val="0"/>
          <w:marRight w:val="0"/>
          <w:marTop w:val="0"/>
          <w:marBottom w:val="0"/>
          <w:divBdr>
            <w:top w:val="none" w:sz="0" w:space="0" w:color="auto"/>
            <w:left w:val="none" w:sz="0" w:space="0" w:color="auto"/>
            <w:bottom w:val="none" w:sz="0" w:space="0" w:color="auto"/>
            <w:right w:val="none" w:sz="0" w:space="0" w:color="auto"/>
          </w:divBdr>
        </w:div>
        <w:div w:id="92751306">
          <w:marLeft w:val="0"/>
          <w:marRight w:val="0"/>
          <w:marTop w:val="0"/>
          <w:marBottom w:val="0"/>
          <w:divBdr>
            <w:top w:val="none" w:sz="0" w:space="0" w:color="auto"/>
            <w:left w:val="none" w:sz="0" w:space="0" w:color="auto"/>
            <w:bottom w:val="none" w:sz="0" w:space="0" w:color="auto"/>
            <w:right w:val="none" w:sz="0" w:space="0" w:color="auto"/>
          </w:divBdr>
        </w:div>
        <w:div w:id="1969387842">
          <w:marLeft w:val="0"/>
          <w:marRight w:val="0"/>
          <w:marTop w:val="0"/>
          <w:marBottom w:val="0"/>
          <w:divBdr>
            <w:top w:val="none" w:sz="0" w:space="0" w:color="auto"/>
            <w:left w:val="none" w:sz="0" w:space="0" w:color="auto"/>
            <w:bottom w:val="none" w:sz="0" w:space="0" w:color="auto"/>
            <w:right w:val="none" w:sz="0" w:space="0" w:color="auto"/>
          </w:divBdr>
        </w:div>
        <w:div w:id="11343909">
          <w:marLeft w:val="0"/>
          <w:marRight w:val="0"/>
          <w:marTop w:val="0"/>
          <w:marBottom w:val="0"/>
          <w:divBdr>
            <w:top w:val="none" w:sz="0" w:space="0" w:color="auto"/>
            <w:left w:val="none" w:sz="0" w:space="0" w:color="auto"/>
            <w:bottom w:val="none" w:sz="0" w:space="0" w:color="auto"/>
            <w:right w:val="none" w:sz="0" w:space="0" w:color="auto"/>
          </w:divBdr>
        </w:div>
        <w:div w:id="1333947070">
          <w:marLeft w:val="0"/>
          <w:marRight w:val="0"/>
          <w:marTop w:val="0"/>
          <w:marBottom w:val="0"/>
          <w:divBdr>
            <w:top w:val="none" w:sz="0" w:space="0" w:color="auto"/>
            <w:left w:val="none" w:sz="0" w:space="0" w:color="auto"/>
            <w:bottom w:val="none" w:sz="0" w:space="0" w:color="auto"/>
            <w:right w:val="none" w:sz="0" w:space="0" w:color="auto"/>
          </w:divBdr>
        </w:div>
        <w:div w:id="817725244">
          <w:marLeft w:val="0"/>
          <w:marRight w:val="0"/>
          <w:marTop w:val="0"/>
          <w:marBottom w:val="0"/>
          <w:divBdr>
            <w:top w:val="none" w:sz="0" w:space="0" w:color="auto"/>
            <w:left w:val="none" w:sz="0" w:space="0" w:color="auto"/>
            <w:bottom w:val="none" w:sz="0" w:space="0" w:color="auto"/>
            <w:right w:val="none" w:sz="0" w:space="0" w:color="auto"/>
          </w:divBdr>
        </w:div>
        <w:div w:id="2070224757">
          <w:marLeft w:val="0"/>
          <w:marRight w:val="0"/>
          <w:marTop w:val="0"/>
          <w:marBottom w:val="0"/>
          <w:divBdr>
            <w:top w:val="none" w:sz="0" w:space="0" w:color="auto"/>
            <w:left w:val="none" w:sz="0" w:space="0" w:color="auto"/>
            <w:bottom w:val="none" w:sz="0" w:space="0" w:color="auto"/>
            <w:right w:val="none" w:sz="0" w:space="0" w:color="auto"/>
          </w:divBdr>
        </w:div>
        <w:div w:id="1455489689">
          <w:marLeft w:val="0"/>
          <w:marRight w:val="0"/>
          <w:marTop w:val="0"/>
          <w:marBottom w:val="0"/>
          <w:divBdr>
            <w:top w:val="none" w:sz="0" w:space="0" w:color="auto"/>
            <w:left w:val="none" w:sz="0" w:space="0" w:color="auto"/>
            <w:bottom w:val="none" w:sz="0" w:space="0" w:color="auto"/>
            <w:right w:val="none" w:sz="0" w:space="0" w:color="auto"/>
          </w:divBdr>
        </w:div>
        <w:div w:id="796139131">
          <w:marLeft w:val="0"/>
          <w:marRight w:val="0"/>
          <w:marTop w:val="0"/>
          <w:marBottom w:val="0"/>
          <w:divBdr>
            <w:top w:val="none" w:sz="0" w:space="0" w:color="auto"/>
            <w:left w:val="none" w:sz="0" w:space="0" w:color="auto"/>
            <w:bottom w:val="none" w:sz="0" w:space="0" w:color="auto"/>
            <w:right w:val="none" w:sz="0" w:space="0" w:color="auto"/>
          </w:divBdr>
        </w:div>
        <w:div w:id="518155150">
          <w:marLeft w:val="0"/>
          <w:marRight w:val="0"/>
          <w:marTop w:val="0"/>
          <w:marBottom w:val="0"/>
          <w:divBdr>
            <w:top w:val="none" w:sz="0" w:space="0" w:color="auto"/>
            <w:left w:val="none" w:sz="0" w:space="0" w:color="auto"/>
            <w:bottom w:val="none" w:sz="0" w:space="0" w:color="auto"/>
            <w:right w:val="none" w:sz="0" w:space="0" w:color="auto"/>
          </w:divBdr>
        </w:div>
        <w:div w:id="1341397626">
          <w:marLeft w:val="0"/>
          <w:marRight w:val="0"/>
          <w:marTop w:val="0"/>
          <w:marBottom w:val="0"/>
          <w:divBdr>
            <w:top w:val="none" w:sz="0" w:space="0" w:color="auto"/>
            <w:left w:val="none" w:sz="0" w:space="0" w:color="auto"/>
            <w:bottom w:val="none" w:sz="0" w:space="0" w:color="auto"/>
            <w:right w:val="none" w:sz="0" w:space="0" w:color="auto"/>
          </w:divBdr>
        </w:div>
        <w:div w:id="1368287635">
          <w:marLeft w:val="0"/>
          <w:marRight w:val="0"/>
          <w:marTop w:val="0"/>
          <w:marBottom w:val="0"/>
          <w:divBdr>
            <w:top w:val="none" w:sz="0" w:space="0" w:color="auto"/>
            <w:left w:val="none" w:sz="0" w:space="0" w:color="auto"/>
            <w:bottom w:val="none" w:sz="0" w:space="0" w:color="auto"/>
            <w:right w:val="none" w:sz="0" w:space="0" w:color="auto"/>
          </w:divBdr>
        </w:div>
        <w:div w:id="1274751337">
          <w:marLeft w:val="0"/>
          <w:marRight w:val="0"/>
          <w:marTop w:val="0"/>
          <w:marBottom w:val="0"/>
          <w:divBdr>
            <w:top w:val="none" w:sz="0" w:space="0" w:color="auto"/>
            <w:left w:val="none" w:sz="0" w:space="0" w:color="auto"/>
            <w:bottom w:val="none" w:sz="0" w:space="0" w:color="auto"/>
            <w:right w:val="none" w:sz="0" w:space="0" w:color="auto"/>
          </w:divBdr>
        </w:div>
        <w:div w:id="660625776">
          <w:marLeft w:val="0"/>
          <w:marRight w:val="0"/>
          <w:marTop w:val="0"/>
          <w:marBottom w:val="0"/>
          <w:divBdr>
            <w:top w:val="none" w:sz="0" w:space="0" w:color="auto"/>
            <w:left w:val="none" w:sz="0" w:space="0" w:color="auto"/>
            <w:bottom w:val="none" w:sz="0" w:space="0" w:color="auto"/>
            <w:right w:val="none" w:sz="0" w:space="0" w:color="auto"/>
          </w:divBdr>
        </w:div>
        <w:div w:id="1103303982">
          <w:marLeft w:val="0"/>
          <w:marRight w:val="0"/>
          <w:marTop w:val="0"/>
          <w:marBottom w:val="0"/>
          <w:divBdr>
            <w:top w:val="none" w:sz="0" w:space="0" w:color="auto"/>
            <w:left w:val="none" w:sz="0" w:space="0" w:color="auto"/>
            <w:bottom w:val="none" w:sz="0" w:space="0" w:color="auto"/>
            <w:right w:val="none" w:sz="0" w:space="0" w:color="auto"/>
          </w:divBdr>
        </w:div>
        <w:div w:id="1779519879">
          <w:marLeft w:val="0"/>
          <w:marRight w:val="0"/>
          <w:marTop w:val="0"/>
          <w:marBottom w:val="0"/>
          <w:divBdr>
            <w:top w:val="none" w:sz="0" w:space="0" w:color="auto"/>
            <w:left w:val="none" w:sz="0" w:space="0" w:color="auto"/>
            <w:bottom w:val="none" w:sz="0" w:space="0" w:color="auto"/>
            <w:right w:val="none" w:sz="0" w:space="0" w:color="auto"/>
          </w:divBdr>
        </w:div>
        <w:div w:id="1097677930">
          <w:marLeft w:val="0"/>
          <w:marRight w:val="0"/>
          <w:marTop w:val="0"/>
          <w:marBottom w:val="0"/>
          <w:divBdr>
            <w:top w:val="none" w:sz="0" w:space="0" w:color="auto"/>
            <w:left w:val="none" w:sz="0" w:space="0" w:color="auto"/>
            <w:bottom w:val="none" w:sz="0" w:space="0" w:color="auto"/>
            <w:right w:val="none" w:sz="0" w:space="0" w:color="auto"/>
          </w:divBdr>
        </w:div>
        <w:div w:id="1400666775">
          <w:marLeft w:val="0"/>
          <w:marRight w:val="0"/>
          <w:marTop w:val="0"/>
          <w:marBottom w:val="0"/>
          <w:divBdr>
            <w:top w:val="none" w:sz="0" w:space="0" w:color="auto"/>
            <w:left w:val="none" w:sz="0" w:space="0" w:color="auto"/>
            <w:bottom w:val="none" w:sz="0" w:space="0" w:color="auto"/>
            <w:right w:val="none" w:sz="0" w:space="0" w:color="auto"/>
          </w:divBdr>
        </w:div>
        <w:div w:id="723604361">
          <w:marLeft w:val="0"/>
          <w:marRight w:val="0"/>
          <w:marTop w:val="0"/>
          <w:marBottom w:val="0"/>
          <w:divBdr>
            <w:top w:val="none" w:sz="0" w:space="0" w:color="auto"/>
            <w:left w:val="none" w:sz="0" w:space="0" w:color="auto"/>
            <w:bottom w:val="none" w:sz="0" w:space="0" w:color="auto"/>
            <w:right w:val="none" w:sz="0" w:space="0" w:color="auto"/>
          </w:divBdr>
        </w:div>
        <w:div w:id="1183934709">
          <w:marLeft w:val="0"/>
          <w:marRight w:val="0"/>
          <w:marTop w:val="0"/>
          <w:marBottom w:val="0"/>
          <w:divBdr>
            <w:top w:val="none" w:sz="0" w:space="0" w:color="auto"/>
            <w:left w:val="none" w:sz="0" w:space="0" w:color="auto"/>
            <w:bottom w:val="none" w:sz="0" w:space="0" w:color="auto"/>
            <w:right w:val="none" w:sz="0" w:space="0" w:color="auto"/>
          </w:divBdr>
        </w:div>
        <w:div w:id="480194400">
          <w:marLeft w:val="0"/>
          <w:marRight w:val="0"/>
          <w:marTop w:val="0"/>
          <w:marBottom w:val="0"/>
          <w:divBdr>
            <w:top w:val="none" w:sz="0" w:space="0" w:color="auto"/>
            <w:left w:val="none" w:sz="0" w:space="0" w:color="auto"/>
            <w:bottom w:val="none" w:sz="0" w:space="0" w:color="auto"/>
            <w:right w:val="none" w:sz="0" w:space="0" w:color="auto"/>
          </w:divBdr>
        </w:div>
        <w:div w:id="152916194">
          <w:marLeft w:val="0"/>
          <w:marRight w:val="0"/>
          <w:marTop w:val="0"/>
          <w:marBottom w:val="0"/>
          <w:divBdr>
            <w:top w:val="none" w:sz="0" w:space="0" w:color="auto"/>
            <w:left w:val="none" w:sz="0" w:space="0" w:color="auto"/>
            <w:bottom w:val="none" w:sz="0" w:space="0" w:color="auto"/>
            <w:right w:val="none" w:sz="0" w:space="0" w:color="auto"/>
          </w:divBdr>
        </w:div>
        <w:div w:id="2135828363">
          <w:marLeft w:val="0"/>
          <w:marRight w:val="0"/>
          <w:marTop w:val="0"/>
          <w:marBottom w:val="0"/>
          <w:divBdr>
            <w:top w:val="none" w:sz="0" w:space="0" w:color="auto"/>
            <w:left w:val="none" w:sz="0" w:space="0" w:color="auto"/>
            <w:bottom w:val="none" w:sz="0" w:space="0" w:color="auto"/>
            <w:right w:val="none" w:sz="0" w:space="0" w:color="auto"/>
          </w:divBdr>
        </w:div>
        <w:div w:id="140078648">
          <w:marLeft w:val="0"/>
          <w:marRight w:val="0"/>
          <w:marTop w:val="0"/>
          <w:marBottom w:val="0"/>
          <w:divBdr>
            <w:top w:val="none" w:sz="0" w:space="0" w:color="auto"/>
            <w:left w:val="none" w:sz="0" w:space="0" w:color="auto"/>
            <w:bottom w:val="none" w:sz="0" w:space="0" w:color="auto"/>
            <w:right w:val="none" w:sz="0" w:space="0" w:color="auto"/>
          </w:divBdr>
        </w:div>
        <w:div w:id="260380979">
          <w:marLeft w:val="0"/>
          <w:marRight w:val="0"/>
          <w:marTop w:val="0"/>
          <w:marBottom w:val="0"/>
          <w:divBdr>
            <w:top w:val="none" w:sz="0" w:space="0" w:color="auto"/>
            <w:left w:val="none" w:sz="0" w:space="0" w:color="auto"/>
            <w:bottom w:val="none" w:sz="0" w:space="0" w:color="auto"/>
            <w:right w:val="none" w:sz="0" w:space="0" w:color="auto"/>
          </w:divBdr>
        </w:div>
        <w:div w:id="1476069501">
          <w:marLeft w:val="0"/>
          <w:marRight w:val="0"/>
          <w:marTop w:val="0"/>
          <w:marBottom w:val="0"/>
          <w:divBdr>
            <w:top w:val="none" w:sz="0" w:space="0" w:color="auto"/>
            <w:left w:val="none" w:sz="0" w:space="0" w:color="auto"/>
            <w:bottom w:val="none" w:sz="0" w:space="0" w:color="auto"/>
            <w:right w:val="none" w:sz="0" w:space="0" w:color="auto"/>
          </w:divBdr>
        </w:div>
        <w:div w:id="1047879184">
          <w:marLeft w:val="0"/>
          <w:marRight w:val="0"/>
          <w:marTop w:val="0"/>
          <w:marBottom w:val="0"/>
          <w:divBdr>
            <w:top w:val="none" w:sz="0" w:space="0" w:color="auto"/>
            <w:left w:val="none" w:sz="0" w:space="0" w:color="auto"/>
            <w:bottom w:val="none" w:sz="0" w:space="0" w:color="auto"/>
            <w:right w:val="none" w:sz="0" w:space="0" w:color="auto"/>
          </w:divBdr>
        </w:div>
      </w:divsChild>
    </w:div>
    <w:div w:id="440954614">
      <w:bodyDiv w:val="1"/>
      <w:marLeft w:val="0"/>
      <w:marRight w:val="0"/>
      <w:marTop w:val="0"/>
      <w:marBottom w:val="0"/>
      <w:divBdr>
        <w:top w:val="none" w:sz="0" w:space="0" w:color="auto"/>
        <w:left w:val="none" w:sz="0" w:space="0" w:color="auto"/>
        <w:bottom w:val="none" w:sz="0" w:space="0" w:color="auto"/>
        <w:right w:val="none" w:sz="0" w:space="0" w:color="auto"/>
      </w:divBdr>
    </w:div>
    <w:div w:id="605700185">
      <w:bodyDiv w:val="1"/>
      <w:marLeft w:val="0"/>
      <w:marRight w:val="0"/>
      <w:marTop w:val="0"/>
      <w:marBottom w:val="0"/>
      <w:divBdr>
        <w:top w:val="none" w:sz="0" w:space="0" w:color="auto"/>
        <w:left w:val="none" w:sz="0" w:space="0" w:color="auto"/>
        <w:bottom w:val="none" w:sz="0" w:space="0" w:color="auto"/>
        <w:right w:val="none" w:sz="0" w:space="0" w:color="auto"/>
      </w:divBdr>
      <w:divsChild>
        <w:div w:id="832331036">
          <w:marLeft w:val="0"/>
          <w:marRight w:val="0"/>
          <w:marTop w:val="0"/>
          <w:marBottom w:val="0"/>
          <w:divBdr>
            <w:top w:val="none" w:sz="0" w:space="0" w:color="auto"/>
            <w:left w:val="none" w:sz="0" w:space="0" w:color="auto"/>
            <w:bottom w:val="none" w:sz="0" w:space="0" w:color="auto"/>
            <w:right w:val="none" w:sz="0" w:space="0" w:color="auto"/>
          </w:divBdr>
        </w:div>
        <w:div w:id="335964657">
          <w:marLeft w:val="0"/>
          <w:marRight w:val="0"/>
          <w:marTop w:val="0"/>
          <w:marBottom w:val="0"/>
          <w:divBdr>
            <w:top w:val="none" w:sz="0" w:space="0" w:color="auto"/>
            <w:left w:val="none" w:sz="0" w:space="0" w:color="auto"/>
            <w:bottom w:val="none" w:sz="0" w:space="0" w:color="auto"/>
            <w:right w:val="none" w:sz="0" w:space="0" w:color="auto"/>
          </w:divBdr>
        </w:div>
        <w:div w:id="1938100851">
          <w:marLeft w:val="0"/>
          <w:marRight w:val="0"/>
          <w:marTop w:val="0"/>
          <w:marBottom w:val="0"/>
          <w:divBdr>
            <w:top w:val="none" w:sz="0" w:space="0" w:color="auto"/>
            <w:left w:val="none" w:sz="0" w:space="0" w:color="auto"/>
            <w:bottom w:val="none" w:sz="0" w:space="0" w:color="auto"/>
            <w:right w:val="none" w:sz="0" w:space="0" w:color="auto"/>
          </w:divBdr>
        </w:div>
        <w:div w:id="1434668041">
          <w:marLeft w:val="0"/>
          <w:marRight w:val="0"/>
          <w:marTop w:val="0"/>
          <w:marBottom w:val="0"/>
          <w:divBdr>
            <w:top w:val="none" w:sz="0" w:space="0" w:color="auto"/>
            <w:left w:val="none" w:sz="0" w:space="0" w:color="auto"/>
            <w:bottom w:val="none" w:sz="0" w:space="0" w:color="auto"/>
            <w:right w:val="none" w:sz="0" w:space="0" w:color="auto"/>
          </w:divBdr>
        </w:div>
        <w:div w:id="263465161">
          <w:marLeft w:val="0"/>
          <w:marRight w:val="0"/>
          <w:marTop w:val="0"/>
          <w:marBottom w:val="0"/>
          <w:divBdr>
            <w:top w:val="none" w:sz="0" w:space="0" w:color="auto"/>
            <w:left w:val="none" w:sz="0" w:space="0" w:color="auto"/>
            <w:bottom w:val="none" w:sz="0" w:space="0" w:color="auto"/>
            <w:right w:val="none" w:sz="0" w:space="0" w:color="auto"/>
          </w:divBdr>
        </w:div>
        <w:div w:id="992569003">
          <w:marLeft w:val="0"/>
          <w:marRight w:val="0"/>
          <w:marTop w:val="0"/>
          <w:marBottom w:val="0"/>
          <w:divBdr>
            <w:top w:val="none" w:sz="0" w:space="0" w:color="auto"/>
            <w:left w:val="none" w:sz="0" w:space="0" w:color="auto"/>
            <w:bottom w:val="none" w:sz="0" w:space="0" w:color="auto"/>
            <w:right w:val="none" w:sz="0" w:space="0" w:color="auto"/>
          </w:divBdr>
        </w:div>
        <w:div w:id="1318655264">
          <w:marLeft w:val="0"/>
          <w:marRight w:val="0"/>
          <w:marTop w:val="0"/>
          <w:marBottom w:val="0"/>
          <w:divBdr>
            <w:top w:val="none" w:sz="0" w:space="0" w:color="auto"/>
            <w:left w:val="none" w:sz="0" w:space="0" w:color="auto"/>
            <w:bottom w:val="none" w:sz="0" w:space="0" w:color="auto"/>
            <w:right w:val="none" w:sz="0" w:space="0" w:color="auto"/>
          </w:divBdr>
        </w:div>
        <w:div w:id="1795980230">
          <w:marLeft w:val="0"/>
          <w:marRight w:val="0"/>
          <w:marTop w:val="0"/>
          <w:marBottom w:val="0"/>
          <w:divBdr>
            <w:top w:val="none" w:sz="0" w:space="0" w:color="auto"/>
            <w:left w:val="none" w:sz="0" w:space="0" w:color="auto"/>
            <w:bottom w:val="none" w:sz="0" w:space="0" w:color="auto"/>
            <w:right w:val="none" w:sz="0" w:space="0" w:color="auto"/>
          </w:divBdr>
        </w:div>
        <w:div w:id="13189367">
          <w:marLeft w:val="0"/>
          <w:marRight w:val="0"/>
          <w:marTop w:val="0"/>
          <w:marBottom w:val="0"/>
          <w:divBdr>
            <w:top w:val="none" w:sz="0" w:space="0" w:color="auto"/>
            <w:left w:val="none" w:sz="0" w:space="0" w:color="auto"/>
            <w:bottom w:val="none" w:sz="0" w:space="0" w:color="auto"/>
            <w:right w:val="none" w:sz="0" w:space="0" w:color="auto"/>
          </w:divBdr>
        </w:div>
        <w:div w:id="1718776740">
          <w:marLeft w:val="0"/>
          <w:marRight w:val="0"/>
          <w:marTop w:val="0"/>
          <w:marBottom w:val="0"/>
          <w:divBdr>
            <w:top w:val="none" w:sz="0" w:space="0" w:color="auto"/>
            <w:left w:val="none" w:sz="0" w:space="0" w:color="auto"/>
            <w:bottom w:val="none" w:sz="0" w:space="0" w:color="auto"/>
            <w:right w:val="none" w:sz="0" w:space="0" w:color="auto"/>
          </w:divBdr>
        </w:div>
        <w:div w:id="1965311390">
          <w:marLeft w:val="0"/>
          <w:marRight w:val="0"/>
          <w:marTop w:val="0"/>
          <w:marBottom w:val="0"/>
          <w:divBdr>
            <w:top w:val="none" w:sz="0" w:space="0" w:color="auto"/>
            <w:left w:val="none" w:sz="0" w:space="0" w:color="auto"/>
            <w:bottom w:val="none" w:sz="0" w:space="0" w:color="auto"/>
            <w:right w:val="none" w:sz="0" w:space="0" w:color="auto"/>
          </w:divBdr>
        </w:div>
        <w:div w:id="1842505879">
          <w:marLeft w:val="0"/>
          <w:marRight w:val="0"/>
          <w:marTop w:val="0"/>
          <w:marBottom w:val="0"/>
          <w:divBdr>
            <w:top w:val="none" w:sz="0" w:space="0" w:color="auto"/>
            <w:left w:val="none" w:sz="0" w:space="0" w:color="auto"/>
            <w:bottom w:val="none" w:sz="0" w:space="0" w:color="auto"/>
            <w:right w:val="none" w:sz="0" w:space="0" w:color="auto"/>
          </w:divBdr>
        </w:div>
        <w:div w:id="121269664">
          <w:marLeft w:val="0"/>
          <w:marRight w:val="0"/>
          <w:marTop w:val="0"/>
          <w:marBottom w:val="0"/>
          <w:divBdr>
            <w:top w:val="none" w:sz="0" w:space="0" w:color="auto"/>
            <w:left w:val="none" w:sz="0" w:space="0" w:color="auto"/>
            <w:bottom w:val="none" w:sz="0" w:space="0" w:color="auto"/>
            <w:right w:val="none" w:sz="0" w:space="0" w:color="auto"/>
          </w:divBdr>
        </w:div>
        <w:div w:id="1099254072">
          <w:marLeft w:val="0"/>
          <w:marRight w:val="0"/>
          <w:marTop w:val="0"/>
          <w:marBottom w:val="0"/>
          <w:divBdr>
            <w:top w:val="none" w:sz="0" w:space="0" w:color="auto"/>
            <w:left w:val="none" w:sz="0" w:space="0" w:color="auto"/>
            <w:bottom w:val="none" w:sz="0" w:space="0" w:color="auto"/>
            <w:right w:val="none" w:sz="0" w:space="0" w:color="auto"/>
          </w:divBdr>
        </w:div>
        <w:div w:id="2006468555">
          <w:marLeft w:val="0"/>
          <w:marRight w:val="0"/>
          <w:marTop w:val="0"/>
          <w:marBottom w:val="0"/>
          <w:divBdr>
            <w:top w:val="none" w:sz="0" w:space="0" w:color="auto"/>
            <w:left w:val="none" w:sz="0" w:space="0" w:color="auto"/>
            <w:bottom w:val="none" w:sz="0" w:space="0" w:color="auto"/>
            <w:right w:val="none" w:sz="0" w:space="0" w:color="auto"/>
          </w:divBdr>
        </w:div>
        <w:div w:id="1154372795">
          <w:marLeft w:val="0"/>
          <w:marRight w:val="0"/>
          <w:marTop w:val="0"/>
          <w:marBottom w:val="0"/>
          <w:divBdr>
            <w:top w:val="none" w:sz="0" w:space="0" w:color="auto"/>
            <w:left w:val="none" w:sz="0" w:space="0" w:color="auto"/>
            <w:bottom w:val="none" w:sz="0" w:space="0" w:color="auto"/>
            <w:right w:val="none" w:sz="0" w:space="0" w:color="auto"/>
          </w:divBdr>
        </w:div>
        <w:div w:id="637027671">
          <w:marLeft w:val="0"/>
          <w:marRight w:val="0"/>
          <w:marTop w:val="0"/>
          <w:marBottom w:val="0"/>
          <w:divBdr>
            <w:top w:val="none" w:sz="0" w:space="0" w:color="auto"/>
            <w:left w:val="none" w:sz="0" w:space="0" w:color="auto"/>
            <w:bottom w:val="none" w:sz="0" w:space="0" w:color="auto"/>
            <w:right w:val="none" w:sz="0" w:space="0" w:color="auto"/>
          </w:divBdr>
        </w:div>
        <w:div w:id="1047144664">
          <w:marLeft w:val="0"/>
          <w:marRight w:val="0"/>
          <w:marTop w:val="0"/>
          <w:marBottom w:val="0"/>
          <w:divBdr>
            <w:top w:val="none" w:sz="0" w:space="0" w:color="auto"/>
            <w:left w:val="none" w:sz="0" w:space="0" w:color="auto"/>
            <w:bottom w:val="none" w:sz="0" w:space="0" w:color="auto"/>
            <w:right w:val="none" w:sz="0" w:space="0" w:color="auto"/>
          </w:divBdr>
        </w:div>
        <w:div w:id="188875961">
          <w:marLeft w:val="0"/>
          <w:marRight w:val="0"/>
          <w:marTop w:val="0"/>
          <w:marBottom w:val="0"/>
          <w:divBdr>
            <w:top w:val="none" w:sz="0" w:space="0" w:color="auto"/>
            <w:left w:val="none" w:sz="0" w:space="0" w:color="auto"/>
            <w:bottom w:val="none" w:sz="0" w:space="0" w:color="auto"/>
            <w:right w:val="none" w:sz="0" w:space="0" w:color="auto"/>
          </w:divBdr>
        </w:div>
        <w:div w:id="668680552">
          <w:marLeft w:val="0"/>
          <w:marRight w:val="0"/>
          <w:marTop w:val="0"/>
          <w:marBottom w:val="0"/>
          <w:divBdr>
            <w:top w:val="none" w:sz="0" w:space="0" w:color="auto"/>
            <w:left w:val="none" w:sz="0" w:space="0" w:color="auto"/>
            <w:bottom w:val="none" w:sz="0" w:space="0" w:color="auto"/>
            <w:right w:val="none" w:sz="0" w:space="0" w:color="auto"/>
          </w:divBdr>
        </w:div>
        <w:div w:id="1539734229">
          <w:marLeft w:val="0"/>
          <w:marRight w:val="0"/>
          <w:marTop w:val="0"/>
          <w:marBottom w:val="0"/>
          <w:divBdr>
            <w:top w:val="none" w:sz="0" w:space="0" w:color="auto"/>
            <w:left w:val="none" w:sz="0" w:space="0" w:color="auto"/>
            <w:bottom w:val="none" w:sz="0" w:space="0" w:color="auto"/>
            <w:right w:val="none" w:sz="0" w:space="0" w:color="auto"/>
          </w:divBdr>
        </w:div>
        <w:div w:id="1565678833">
          <w:marLeft w:val="0"/>
          <w:marRight w:val="0"/>
          <w:marTop w:val="0"/>
          <w:marBottom w:val="0"/>
          <w:divBdr>
            <w:top w:val="none" w:sz="0" w:space="0" w:color="auto"/>
            <w:left w:val="none" w:sz="0" w:space="0" w:color="auto"/>
            <w:bottom w:val="none" w:sz="0" w:space="0" w:color="auto"/>
            <w:right w:val="none" w:sz="0" w:space="0" w:color="auto"/>
          </w:divBdr>
        </w:div>
        <w:div w:id="966590949">
          <w:marLeft w:val="0"/>
          <w:marRight w:val="0"/>
          <w:marTop w:val="0"/>
          <w:marBottom w:val="0"/>
          <w:divBdr>
            <w:top w:val="none" w:sz="0" w:space="0" w:color="auto"/>
            <w:left w:val="none" w:sz="0" w:space="0" w:color="auto"/>
            <w:bottom w:val="none" w:sz="0" w:space="0" w:color="auto"/>
            <w:right w:val="none" w:sz="0" w:space="0" w:color="auto"/>
          </w:divBdr>
        </w:div>
        <w:div w:id="1024792770">
          <w:marLeft w:val="0"/>
          <w:marRight w:val="0"/>
          <w:marTop w:val="0"/>
          <w:marBottom w:val="0"/>
          <w:divBdr>
            <w:top w:val="none" w:sz="0" w:space="0" w:color="auto"/>
            <w:left w:val="none" w:sz="0" w:space="0" w:color="auto"/>
            <w:bottom w:val="none" w:sz="0" w:space="0" w:color="auto"/>
            <w:right w:val="none" w:sz="0" w:space="0" w:color="auto"/>
          </w:divBdr>
        </w:div>
        <w:div w:id="1312829631">
          <w:marLeft w:val="0"/>
          <w:marRight w:val="0"/>
          <w:marTop w:val="0"/>
          <w:marBottom w:val="0"/>
          <w:divBdr>
            <w:top w:val="none" w:sz="0" w:space="0" w:color="auto"/>
            <w:left w:val="none" w:sz="0" w:space="0" w:color="auto"/>
            <w:bottom w:val="none" w:sz="0" w:space="0" w:color="auto"/>
            <w:right w:val="none" w:sz="0" w:space="0" w:color="auto"/>
          </w:divBdr>
        </w:div>
        <w:div w:id="872350457">
          <w:marLeft w:val="0"/>
          <w:marRight w:val="0"/>
          <w:marTop w:val="0"/>
          <w:marBottom w:val="0"/>
          <w:divBdr>
            <w:top w:val="none" w:sz="0" w:space="0" w:color="auto"/>
            <w:left w:val="none" w:sz="0" w:space="0" w:color="auto"/>
            <w:bottom w:val="none" w:sz="0" w:space="0" w:color="auto"/>
            <w:right w:val="none" w:sz="0" w:space="0" w:color="auto"/>
          </w:divBdr>
        </w:div>
        <w:div w:id="114374290">
          <w:marLeft w:val="0"/>
          <w:marRight w:val="0"/>
          <w:marTop w:val="0"/>
          <w:marBottom w:val="0"/>
          <w:divBdr>
            <w:top w:val="none" w:sz="0" w:space="0" w:color="auto"/>
            <w:left w:val="none" w:sz="0" w:space="0" w:color="auto"/>
            <w:bottom w:val="none" w:sz="0" w:space="0" w:color="auto"/>
            <w:right w:val="none" w:sz="0" w:space="0" w:color="auto"/>
          </w:divBdr>
        </w:div>
        <w:div w:id="609245603">
          <w:marLeft w:val="0"/>
          <w:marRight w:val="0"/>
          <w:marTop w:val="0"/>
          <w:marBottom w:val="0"/>
          <w:divBdr>
            <w:top w:val="none" w:sz="0" w:space="0" w:color="auto"/>
            <w:left w:val="none" w:sz="0" w:space="0" w:color="auto"/>
            <w:bottom w:val="none" w:sz="0" w:space="0" w:color="auto"/>
            <w:right w:val="none" w:sz="0" w:space="0" w:color="auto"/>
          </w:divBdr>
        </w:div>
        <w:div w:id="1822454926">
          <w:marLeft w:val="0"/>
          <w:marRight w:val="0"/>
          <w:marTop w:val="0"/>
          <w:marBottom w:val="0"/>
          <w:divBdr>
            <w:top w:val="none" w:sz="0" w:space="0" w:color="auto"/>
            <w:left w:val="none" w:sz="0" w:space="0" w:color="auto"/>
            <w:bottom w:val="none" w:sz="0" w:space="0" w:color="auto"/>
            <w:right w:val="none" w:sz="0" w:space="0" w:color="auto"/>
          </w:divBdr>
        </w:div>
        <w:div w:id="614942195">
          <w:marLeft w:val="0"/>
          <w:marRight w:val="0"/>
          <w:marTop w:val="0"/>
          <w:marBottom w:val="0"/>
          <w:divBdr>
            <w:top w:val="none" w:sz="0" w:space="0" w:color="auto"/>
            <w:left w:val="none" w:sz="0" w:space="0" w:color="auto"/>
            <w:bottom w:val="none" w:sz="0" w:space="0" w:color="auto"/>
            <w:right w:val="none" w:sz="0" w:space="0" w:color="auto"/>
          </w:divBdr>
        </w:div>
      </w:divsChild>
    </w:div>
    <w:div w:id="614943747">
      <w:marLeft w:val="0"/>
      <w:marRight w:val="0"/>
      <w:marTop w:val="0"/>
      <w:marBottom w:val="0"/>
      <w:divBdr>
        <w:top w:val="none" w:sz="0" w:space="0" w:color="auto"/>
        <w:left w:val="none" w:sz="0" w:space="0" w:color="auto"/>
        <w:bottom w:val="none" w:sz="0" w:space="0" w:color="auto"/>
        <w:right w:val="none" w:sz="0" w:space="0" w:color="auto"/>
      </w:divBdr>
    </w:div>
    <w:div w:id="675036900">
      <w:marLeft w:val="0"/>
      <w:marRight w:val="0"/>
      <w:marTop w:val="0"/>
      <w:marBottom w:val="0"/>
      <w:divBdr>
        <w:top w:val="none" w:sz="0" w:space="0" w:color="auto"/>
        <w:left w:val="none" w:sz="0" w:space="0" w:color="auto"/>
        <w:bottom w:val="none" w:sz="0" w:space="0" w:color="auto"/>
        <w:right w:val="none" w:sz="0" w:space="0" w:color="auto"/>
      </w:divBdr>
    </w:div>
    <w:div w:id="735394613">
      <w:marLeft w:val="0"/>
      <w:marRight w:val="0"/>
      <w:marTop w:val="0"/>
      <w:marBottom w:val="0"/>
      <w:divBdr>
        <w:top w:val="none" w:sz="0" w:space="0" w:color="auto"/>
        <w:left w:val="none" w:sz="0" w:space="0" w:color="auto"/>
        <w:bottom w:val="none" w:sz="0" w:space="0" w:color="auto"/>
        <w:right w:val="none" w:sz="0" w:space="0" w:color="auto"/>
      </w:divBdr>
    </w:div>
    <w:div w:id="777262106">
      <w:marLeft w:val="0"/>
      <w:marRight w:val="0"/>
      <w:marTop w:val="0"/>
      <w:marBottom w:val="0"/>
      <w:divBdr>
        <w:top w:val="none" w:sz="0" w:space="0" w:color="auto"/>
        <w:left w:val="none" w:sz="0" w:space="0" w:color="auto"/>
        <w:bottom w:val="none" w:sz="0" w:space="0" w:color="auto"/>
        <w:right w:val="none" w:sz="0" w:space="0" w:color="auto"/>
      </w:divBdr>
    </w:div>
    <w:div w:id="848712093">
      <w:marLeft w:val="0"/>
      <w:marRight w:val="0"/>
      <w:marTop w:val="0"/>
      <w:marBottom w:val="0"/>
      <w:divBdr>
        <w:top w:val="none" w:sz="0" w:space="0" w:color="auto"/>
        <w:left w:val="none" w:sz="0" w:space="0" w:color="auto"/>
        <w:bottom w:val="none" w:sz="0" w:space="0" w:color="auto"/>
        <w:right w:val="none" w:sz="0" w:space="0" w:color="auto"/>
      </w:divBdr>
    </w:div>
    <w:div w:id="902135275">
      <w:bodyDiv w:val="1"/>
      <w:marLeft w:val="0"/>
      <w:marRight w:val="0"/>
      <w:marTop w:val="0"/>
      <w:marBottom w:val="0"/>
      <w:divBdr>
        <w:top w:val="none" w:sz="0" w:space="0" w:color="auto"/>
        <w:left w:val="none" w:sz="0" w:space="0" w:color="auto"/>
        <w:bottom w:val="none" w:sz="0" w:space="0" w:color="auto"/>
        <w:right w:val="none" w:sz="0" w:space="0" w:color="auto"/>
      </w:divBdr>
    </w:div>
    <w:div w:id="937755472">
      <w:bodyDiv w:val="1"/>
      <w:marLeft w:val="0"/>
      <w:marRight w:val="0"/>
      <w:marTop w:val="0"/>
      <w:marBottom w:val="0"/>
      <w:divBdr>
        <w:top w:val="none" w:sz="0" w:space="0" w:color="auto"/>
        <w:left w:val="none" w:sz="0" w:space="0" w:color="auto"/>
        <w:bottom w:val="none" w:sz="0" w:space="0" w:color="auto"/>
        <w:right w:val="none" w:sz="0" w:space="0" w:color="auto"/>
      </w:divBdr>
      <w:divsChild>
        <w:div w:id="978650061">
          <w:marLeft w:val="0"/>
          <w:marRight w:val="0"/>
          <w:marTop w:val="0"/>
          <w:marBottom w:val="0"/>
          <w:divBdr>
            <w:top w:val="none" w:sz="0" w:space="0" w:color="auto"/>
            <w:left w:val="none" w:sz="0" w:space="0" w:color="auto"/>
            <w:bottom w:val="none" w:sz="0" w:space="0" w:color="auto"/>
            <w:right w:val="none" w:sz="0" w:space="0" w:color="auto"/>
          </w:divBdr>
        </w:div>
        <w:div w:id="1301765154">
          <w:marLeft w:val="0"/>
          <w:marRight w:val="0"/>
          <w:marTop w:val="0"/>
          <w:marBottom w:val="0"/>
          <w:divBdr>
            <w:top w:val="none" w:sz="0" w:space="0" w:color="auto"/>
            <w:left w:val="none" w:sz="0" w:space="0" w:color="auto"/>
            <w:bottom w:val="none" w:sz="0" w:space="0" w:color="auto"/>
            <w:right w:val="none" w:sz="0" w:space="0" w:color="auto"/>
          </w:divBdr>
        </w:div>
        <w:div w:id="395128847">
          <w:marLeft w:val="0"/>
          <w:marRight w:val="0"/>
          <w:marTop w:val="0"/>
          <w:marBottom w:val="0"/>
          <w:divBdr>
            <w:top w:val="none" w:sz="0" w:space="0" w:color="auto"/>
            <w:left w:val="none" w:sz="0" w:space="0" w:color="auto"/>
            <w:bottom w:val="none" w:sz="0" w:space="0" w:color="auto"/>
            <w:right w:val="none" w:sz="0" w:space="0" w:color="auto"/>
          </w:divBdr>
        </w:div>
        <w:div w:id="1248806828">
          <w:marLeft w:val="0"/>
          <w:marRight w:val="0"/>
          <w:marTop w:val="0"/>
          <w:marBottom w:val="0"/>
          <w:divBdr>
            <w:top w:val="none" w:sz="0" w:space="0" w:color="auto"/>
            <w:left w:val="none" w:sz="0" w:space="0" w:color="auto"/>
            <w:bottom w:val="none" w:sz="0" w:space="0" w:color="auto"/>
            <w:right w:val="none" w:sz="0" w:space="0" w:color="auto"/>
          </w:divBdr>
        </w:div>
        <w:div w:id="838422657">
          <w:marLeft w:val="0"/>
          <w:marRight w:val="0"/>
          <w:marTop w:val="0"/>
          <w:marBottom w:val="0"/>
          <w:divBdr>
            <w:top w:val="none" w:sz="0" w:space="0" w:color="auto"/>
            <w:left w:val="none" w:sz="0" w:space="0" w:color="auto"/>
            <w:bottom w:val="none" w:sz="0" w:space="0" w:color="auto"/>
            <w:right w:val="none" w:sz="0" w:space="0" w:color="auto"/>
          </w:divBdr>
        </w:div>
        <w:div w:id="1951474808">
          <w:marLeft w:val="0"/>
          <w:marRight w:val="0"/>
          <w:marTop w:val="0"/>
          <w:marBottom w:val="0"/>
          <w:divBdr>
            <w:top w:val="none" w:sz="0" w:space="0" w:color="auto"/>
            <w:left w:val="none" w:sz="0" w:space="0" w:color="auto"/>
            <w:bottom w:val="none" w:sz="0" w:space="0" w:color="auto"/>
            <w:right w:val="none" w:sz="0" w:space="0" w:color="auto"/>
          </w:divBdr>
        </w:div>
        <w:div w:id="473447323">
          <w:marLeft w:val="0"/>
          <w:marRight w:val="0"/>
          <w:marTop w:val="0"/>
          <w:marBottom w:val="0"/>
          <w:divBdr>
            <w:top w:val="none" w:sz="0" w:space="0" w:color="auto"/>
            <w:left w:val="none" w:sz="0" w:space="0" w:color="auto"/>
            <w:bottom w:val="none" w:sz="0" w:space="0" w:color="auto"/>
            <w:right w:val="none" w:sz="0" w:space="0" w:color="auto"/>
          </w:divBdr>
        </w:div>
        <w:div w:id="1136684266">
          <w:marLeft w:val="0"/>
          <w:marRight w:val="0"/>
          <w:marTop w:val="0"/>
          <w:marBottom w:val="0"/>
          <w:divBdr>
            <w:top w:val="none" w:sz="0" w:space="0" w:color="auto"/>
            <w:left w:val="none" w:sz="0" w:space="0" w:color="auto"/>
            <w:bottom w:val="none" w:sz="0" w:space="0" w:color="auto"/>
            <w:right w:val="none" w:sz="0" w:space="0" w:color="auto"/>
          </w:divBdr>
        </w:div>
        <w:div w:id="1892840121">
          <w:marLeft w:val="0"/>
          <w:marRight w:val="0"/>
          <w:marTop w:val="0"/>
          <w:marBottom w:val="0"/>
          <w:divBdr>
            <w:top w:val="none" w:sz="0" w:space="0" w:color="auto"/>
            <w:left w:val="none" w:sz="0" w:space="0" w:color="auto"/>
            <w:bottom w:val="none" w:sz="0" w:space="0" w:color="auto"/>
            <w:right w:val="none" w:sz="0" w:space="0" w:color="auto"/>
          </w:divBdr>
        </w:div>
        <w:div w:id="1413743005">
          <w:marLeft w:val="0"/>
          <w:marRight w:val="0"/>
          <w:marTop w:val="0"/>
          <w:marBottom w:val="0"/>
          <w:divBdr>
            <w:top w:val="none" w:sz="0" w:space="0" w:color="auto"/>
            <w:left w:val="none" w:sz="0" w:space="0" w:color="auto"/>
            <w:bottom w:val="none" w:sz="0" w:space="0" w:color="auto"/>
            <w:right w:val="none" w:sz="0" w:space="0" w:color="auto"/>
          </w:divBdr>
        </w:div>
        <w:div w:id="1882596103">
          <w:marLeft w:val="0"/>
          <w:marRight w:val="0"/>
          <w:marTop w:val="0"/>
          <w:marBottom w:val="0"/>
          <w:divBdr>
            <w:top w:val="none" w:sz="0" w:space="0" w:color="auto"/>
            <w:left w:val="none" w:sz="0" w:space="0" w:color="auto"/>
            <w:bottom w:val="none" w:sz="0" w:space="0" w:color="auto"/>
            <w:right w:val="none" w:sz="0" w:space="0" w:color="auto"/>
          </w:divBdr>
        </w:div>
        <w:div w:id="1543515753">
          <w:marLeft w:val="0"/>
          <w:marRight w:val="0"/>
          <w:marTop w:val="0"/>
          <w:marBottom w:val="0"/>
          <w:divBdr>
            <w:top w:val="none" w:sz="0" w:space="0" w:color="auto"/>
            <w:left w:val="none" w:sz="0" w:space="0" w:color="auto"/>
            <w:bottom w:val="none" w:sz="0" w:space="0" w:color="auto"/>
            <w:right w:val="none" w:sz="0" w:space="0" w:color="auto"/>
          </w:divBdr>
        </w:div>
        <w:div w:id="158928030">
          <w:marLeft w:val="0"/>
          <w:marRight w:val="0"/>
          <w:marTop w:val="0"/>
          <w:marBottom w:val="0"/>
          <w:divBdr>
            <w:top w:val="none" w:sz="0" w:space="0" w:color="auto"/>
            <w:left w:val="none" w:sz="0" w:space="0" w:color="auto"/>
            <w:bottom w:val="none" w:sz="0" w:space="0" w:color="auto"/>
            <w:right w:val="none" w:sz="0" w:space="0" w:color="auto"/>
          </w:divBdr>
        </w:div>
        <w:div w:id="456487509">
          <w:marLeft w:val="0"/>
          <w:marRight w:val="0"/>
          <w:marTop w:val="0"/>
          <w:marBottom w:val="0"/>
          <w:divBdr>
            <w:top w:val="none" w:sz="0" w:space="0" w:color="auto"/>
            <w:left w:val="none" w:sz="0" w:space="0" w:color="auto"/>
            <w:bottom w:val="none" w:sz="0" w:space="0" w:color="auto"/>
            <w:right w:val="none" w:sz="0" w:space="0" w:color="auto"/>
          </w:divBdr>
        </w:div>
        <w:div w:id="1609123803">
          <w:marLeft w:val="0"/>
          <w:marRight w:val="0"/>
          <w:marTop w:val="0"/>
          <w:marBottom w:val="0"/>
          <w:divBdr>
            <w:top w:val="none" w:sz="0" w:space="0" w:color="auto"/>
            <w:left w:val="none" w:sz="0" w:space="0" w:color="auto"/>
            <w:bottom w:val="none" w:sz="0" w:space="0" w:color="auto"/>
            <w:right w:val="none" w:sz="0" w:space="0" w:color="auto"/>
          </w:divBdr>
        </w:div>
      </w:divsChild>
    </w:div>
    <w:div w:id="1050037723">
      <w:marLeft w:val="0"/>
      <w:marRight w:val="0"/>
      <w:marTop w:val="0"/>
      <w:marBottom w:val="0"/>
      <w:divBdr>
        <w:top w:val="none" w:sz="0" w:space="0" w:color="auto"/>
        <w:left w:val="none" w:sz="0" w:space="0" w:color="auto"/>
        <w:bottom w:val="none" w:sz="0" w:space="0" w:color="auto"/>
        <w:right w:val="none" w:sz="0" w:space="0" w:color="auto"/>
      </w:divBdr>
    </w:div>
    <w:div w:id="1072043866">
      <w:marLeft w:val="0"/>
      <w:marRight w:val="0"/>
      <w:marTop w:val="0"/>
      <w:marBottom w:val="0"/>
      <w:divBdr>
        <w:top w:val="none" w:sz="0" w:space="0" w:color="auto"/>
        <w:left w:val="none" w:sz="0" w:space="0" w:color="auto"/>
        <w:bottom w:val="none" w:sz="0" w:space="0" w:color="auto"/>
        <w:right w:val="none" w:sz="0" w:space="0" w:color="auto"/>
      </w:divBdr>
    </w:div>
    <w:div w:id="1125662597">
      <w:bodyDiv w:val="1"/>
      <w:marLeft w:val="0"/>
      <w:marRight w:val="0"/>
      <w:marTop w:val="0"/>
      <w:marBottom w:val="0"/>
      <w:divBdr>
        <w:top w:val="none" w:sz="0" w:space="0" w:color="auto"/>
        <w:left w:val="none" w:sz="0" w:space="0" w:color="auto"/>
        <w:bottom w:val="none" w:sz="0" w:space="0" w:color="auto"/>
        <w:right w:val="none" w:sz="0" w:space="0" w:color="auto"/>
      </w:divBdr>
      <w:divsChild>
        <w:div w:id="1080060464">
          <w:marLeft w:val="0"/>
          <w:marRight w:val="0"/>
          <w:marTop w:val="0"/>
          <w:marBottom w:val="0"/>
          <w:divBdr>
            <w:top w:val="none" w:sz="0" w:space="0" w:color="auto"/>
            <w:left w:val="none" w:sz="0" w:space="0" w:color="auto"/>
            <w:bottom w:val="none" w:sz="0" w:space="0" w:color="auto"/>
            <w:right w:val="none" w:sz="0" w:space="0" w:color="auto"/>
          </w:divBdr>
        </w:div>
        <w:div w:id="1663967025">
          <w:marLeft w:val="0"/>
          <w:marRight w:val="0"/>
          <w:marTop w:val="0"/>
          <w:marBottom w:val="0"/>
          <w:divBdr>
            <w:top w:val="none" w:sz="0" w:space="0" w:color="auto"/>
            <w:left w:val="none" w:sz="0" w:space="0" w:color="auto"/>
            <w:bottom w:val="none" w:sz="0" w:space="0" w:color="auto"/>
            <w:right w:val="none" w:sz="0" w:space="0" w:color="auto"/>
          </w:divBdr>
        </w:div>
        <w:div w:id="869148758">
          <w:marLeft w:val="0"/>
          <w:marRight w:val="0"/>
          <w:marTop w:val="0"/>
          <w:marBottom w:val="0"/>
          <w:divBdr>
            <w:top w:val="none" w:sz="0" w:space="0" w:color="auto"/>
            <w:left w:val="none" w:sz="0" w:space="0" w:color="auto"/>
            <w:bottom w:val="none" w:sz="0" w:space="0" w:color="auto"/>
            <w:right w:val="none" w:sz="0" w:space="0" w:color="auto"/>
          </w:divBdr>
        </w:div>
      </w:divsChild>
    </w:div>
    <w:div w:id="1142962928">
      <w:marLeft w:val="0"/>
      <w:marRight w:val="0"/>
      <w:marTop w:val="0"/>
      <w:marBottom w:val="0"/>
      <w:divBdr>
        <w:top w:val="none" w:sz="0" w:space="0" w:color="auto"/>
        <w:left w:val="none" w:sz="0" w:space="0" w:color="auto"/>
        <w:bottom w:val="none" w:sz="0" w:space="0" w:color="auto"/>
        <w:right w:val="none" w:sz="0" w:space="0" w:color="auto"/>
      </w:divBdr>
    </w:div>
    <w:div w:id="1186018272">
      <w:marLeft w:val="0"/>
      <w:marRight w:val="0"/>
      <w:marTop w:val="0"/>
      <w:marBottom w:val="0"/>
      <w:divBdr>
        <w:top w:val="none" w:sz="0" w:space="0" w:color="auto"/>
        <w:left w:val="none" w:sz="0" w:space="0" w:color="auto"/>
        <w:bottom w:val="none" w:sz="0" w:space="0" w:color="auto"/>
        <w:right w:val="none" w:sz="0" w:space="0" w:color="auto"/>
      </w:divBdr>
    </w:div>
    <w:div w:id="1303193675">
      <w:marLeft w:val="0"/>
      <w:marRight w:val="0"/>
      <w:marTop w:val="0"/>
      <w:marBottom w:val="0"/>
      <w:divBdr>
        <w:top w:val="none" w:sz="0" w:space="0" w:color="auto"/>
        <w:left w:val="none" w:sz="0" w:space="0" w:color="auto"/>
        <w:bottom w:val="none" w:sz="0" w:space="0" w:color="auto"/>
        <w:right w:val="none" w:sz="0" w:space="0" w:color="auto"/>
      </w:divBdr>
    </w:div>
    <w:div w:id="1345741166">
      <w:bodyDiv w:val="1"/>
      <w:marLeft w:val="0"/>
      <w:marRight w:val="0"/>
      <w:marTop w:val="0"/>
      <w:marBottom w:val="0"/>
      <w:divBdr>
        <w:top w:val="none" w:sz="0" w:space="0" w:color="auto"/>
        <w:left w:val="none" w:sz="0" w:space="0" w:color="auto"/>
        <w:bottom w:val="none" w:sz="0" w:space="0" w:color="auto"/>
        <w:right w:val="none" w:sz="0" w:space="0" w:color="auto"/>
      </w:divBdr>
      <w:divsChild>
        <w:div w:id="228997343">
          <w:marLeft w:val="0"/>
          <w:marRight w:val="0"/>
          <w:marTop w:val="0"/>
          <w:marBottom w:val="0"/>
          <w:divBdr>
            <w:top w:val="none" w:sz="0" w:space="0" w:color="auto"/>
            <w:left w:val="none" w:sz="0" w:space="0" w:color="auto"/>
            <w:bottom w:val="none" w:sz="0" w:space="0" w:color="auto"/>
            <w:right w:val="none" w:sz="0" w:space="0" w:color="auto"/>
          </w:divBdr>
        </w:div>
        <w:div w:id="1633171100">
          <w:marLeft w:val="0"/>
          <w:marRight w:val="0"/>
          <w:marTop w:val="0"/>
          <w:marBottom w:val="0"/>
          <w:divBdr>
            <w:top w:val="none" w:sz="0" w:space="0" w:color="auto"/>
            <w:left w:val="none" w:sz="0" w:space="0" w:color="auto"/>
            <w:bottom w:val="none" w:sz="0" w:space="0" w:color="auto"/>
            <w:right w:val="none" w:sz="0" w:space="0" w:color="auto"/>
          </w:divBdr>
        </w:div>
        <w:div w:id="628245396">
          <w:marLeft w:val="0"/>
          <w:marRight w:val="0"/>
          <w:marTop w:val="0"/>
          <w:marBottom w:val="0"/>
          <w:divBdr>
            <w:top w:val="none" w:sz="0" w:space="0" w:color="auto"/>
            <w:left w:val="none" w:sz="0" w:space="0" w:color="auto"/>
            <w:bottom w:val="none" w:sz="0" w:space="0" w:color="auto"/>
            <w:right w:val="none" w:sz="0" w:space="0" w:color="auto"/>
          </w:divBdr>
        </w:div>
        <w:div w:id="1000736417">
          <w:marLeft w:val="0"/>
          <w:marRight w:val="0"/>
          <w:marTop w:val="0"/>
          <w:marBottom w:val="0"/>
          <w:divBdr>
            <w:top w:val="none" w:sz="0" w:space="0" w:color="auto"/>
            <w:left w:val="none" w:sz="0" w:space="0" w:color="auto"/>
            <w:bottom w:val="none" w:sz="0" w:space="0" w:color="auto"/>
            <w:right w:val="none" w:sz="0" w:space="0" w:color="auto"/>
          </w:divBdr>
        </w:div>
        <w:div w:id="1218319735">
          <w:marLeft w:val="0"/>
          <w:marRight w:val="0"/>
          <w:marTop w:val="0"/>
          <w:marBottom w:val="0"/>
          <w:divBdr>
            <w:top w:val="none" w:sz="0" w:space="0" w:color="auto"/>
            <w:left w:val="none" w:sz="0" w:space="0" w:color="auto"/>
            <w:bottom w:val="none" w:sz="0" w:space="0" w:color="auto"/>
            <w:right w:val="none" w:sz="0" w:space="0" w:color="auto"/>
          </w:divBdr>
        </w:div>
        <w:div w:id="2042243525">
          <w:marLeft w:val="0"/>
          <w:marRight w:val="0"/>
          <w:marTop w:val="0"/>
          <w:marBottom w:val="0"/>
          <w:divBdr>
            <w:top w:val="none" w:sz="0" w:space="0" w:color="auto"/>
            <w:left w:val="none" w:sz="0" w:space="0" w:color="auto"/>
            <w:bottom w:val="none" w:sz="0" w:space="0" w:color="auto"/>
            <w:right w:val="none" w:sz="0" w:space="0" w:color="auto"/>
          </w:divBdr>
        </w:div>
        <w:div w:id="479267459">
          <w:marLeft w:val="0"/>
          <w:marRight w:val="0"/>
          <w:marTop w:val="0"/>
          <w:marBottom w:val="0"/>
          <w:divBdr>
            <w:top w:val="none" w:sz="0" w:space="0" w:color="auto"/>
            <w:left w:val="none" w:sz="0" w:space="0" w:color="auto"/>
            <w:bottom w:val="none" w:sz="0" w:space="0" w:color="auto"/>
            <w:right w:val="none" w:sz="0" w:space="0" w:color="auto"/>
          </w:divBdr>
        </w:div>
        <w:div w:id="1504935773">
          <w:marLeft w:val="0"/>
          <w:marRight w:val="0"/>
          <w:marTop w:val="0"/>
          <w:marBottom w:val="0"/>
          <w:divBdr>
            <w:top w:val="none" w:sz="0" w:space="0" w:color="auto"/>
            <w:left w:val="none" w:sz="0" w:space="0" w:color="auto"/>
            <w:bottom w:val="none" w:sz="0" w:space="0" w:color="auto"/>
            <w:right w:val="none" w:sz="0" w:space="0" w:color="auto"/>
          </w:divBdr>
        </w:div>
        <w:div w:id="1032609867">
          <w:marLeft w:val="0"/>
          <w:marRight w:val="0"/>
          <w:marTop w:val="0"/>
          <w:marBottom w:val="0"/>
          <w:divBdr>
            <w:top w:val="none" w:sz="0" w:space="0" w:color="auto"/>
            <w:left w:val="none" w:sz="0" w:space="0" w:color="auto"/>
            <w:bottom w:val="none" w:sz="0" w:space="0" w:color="auto"/>
            <w:right w:val="none" w:sz="0" w:space="0" w:color="auto"/>
          </w:divBdr>
        </w:div>
        <w:div w:id="383942514">
          <w:marLeft w:val="0"/>
          <w:marRight w:val="0"/>
          <w:marTop w:val="0"/>
          <w:marBottom w:val="0"/>
          <w:divBdr>
            <w:top w:val="none" w:sz="0" w:space="0" w:color="auto"/>
            <w:left w:val="none" w:sz="0" w:space="0" w:color="auto"/>
            <w:bottom w:val="none" w:sz="0" w:space="0" w:color="auto"/>
            <w:right w:val="none" w:sz="0" w:space="0" w:color="auto"/>
          </w:divBdr>
        </w:div>
        <w:div w:id="1909488949">
          <w:marLeft w:val="0"/>
          <w:marRight w:val="0"/>
          <w:marTop w:val="0"/>
          <w:marBottom w:val="0"/>
          <w:divBdr>
            <w:top w:val="none" w:sz="0" w:space="0" w:color="auto"/>
            <w:left w:val="none" w:sz="0" w:space="0" w:color="auto"/>
            <w:bottom w:val="none" w:sz="0" w:space="0" w:color="auto"/>
            <w:right w:val="none" w:sz="0" w:space="0" w:color="auto"/>
          </w:divBdr>
        </w:div>
        <w:div w:id="293025807">
          <w:marLeft w:val="0"/>
          <w:marRight w:val="0"/>
          <w:marTop w:val="0"/>
          <w:marBottom w:val="0"/>
          <w:divBdr>
            <w:top w:val="none" w:sz="0" w:space="0" w:color="auto"/>
            <w:left w:val="none" w:sz="0" w:space="0" w:color="auto"/>
            <w:bottom w:val="none" w:sz="0" w:space="0" w:color="auto"/>
            <w:right w:val="none" w:sz="0" w:space="0" w:color="auto"/>
          </w:divBdr>
        </w:div>
        <w:div w:id="1971664940">
          <w:marLeft w:val="0"/>
          <w:marRight w:val="0"/>
          <w:marTop w:val="0"/>
          <w:marBottom w:val="0"/>
          <w:divBdr>
            <w:top w:val="none" w:sz="0" w:space="0" w:color="auto"/>
            <w:left w:val="none" w:sz="0" w:space="0" w:color="auto"/>
            <w:bottom w:val="none" w:sz="0" w:space="0" w:color="auto"/>
            <w:right w:val="none" w:sz="0" w:space="0" w:color="auto"/>
          </w:divBdr>
        </w:div>
        <w:div w:id="104886501">
          <w:marLeft w:val="0"/>
          <w:marRight w:val="0"/>
          <w:marTop w:val="0"/>
          <w:marBottom w:val="0"/>
          <w:divBdr>
            <w:top w:val="none" w:sz="0" w:space="0" w:color="auto"/>
            <w:left w:val="none" w:sz="0" w:space="0" w:color="auto"/>
            <w:bottom w:val="none" w:sz="0" w:space="0" w:color="auto"/>
            <w:right w:val="none" w:sz="0" w:space="0" w:color="auto"/>
          </w:divBdr>
        </w:div>
        <w:div w:id="931082429">
          <w:marLeft w:val="0"/>
          <w:marRight w:val="0"/>
          <w:marTop w:val="0"/>
          <w:marBottom w:val="0"/>
          <w:divBdr>
            <w:top w:val="none" w:sz="0" w:space="0" w:color="auto"/>
            <w:left w:val="none" w:sz="0" w:space="0" w:color="auto"/>
            <w:bottom w:val="none" w:sz="0" w:space="0" w:color="auto"/>
            <w:right w:val="none" w:sz="0" w:space="0" w:color="auto"/>
          </w:divBdr>
        </w:div>
        <w:div w:id="1417242724">
          <w:marLeft w:val="0"/>
          <w:marRight w:val="0"/>
          <w:marTop w:val="0"/>
          <w:marBottom w:val="0"/>
          <w:divBdr>
            <w:top w:val="none" w:sz="0" w:space="0" w:color="auto"/>
            <w:left w:val="none" w:sz="0" w:space="0" w:color="auto"/>
            <w:bottom w:val="none" w:sz="0" w:space="0" w:color="auto"/>
            <w:right w:val="none" w:sz="0" w:space="0" w:color="auto"/>
          </w:divBdr>
        </w:div>
        <w:div w:id="1725564365">
          <w:marLeft w:val="0"/>
          <w:marRight w:val="0"/>
          <w:marTop w:val="0"/>
          <w:marBottom w:val="0"/>
          <w:divBdr>
            <w:top w:val="none" w:sz="0" w:space="0" w:color="auto"/>
            <w:left w:val="none" w:sz="0" w:space="0" w:color="auto"/>
            <w:bottom w:val="none" w:sz="0" w:space="0" w:color="auto"/>
            <w:right w:val="none" w:sz="0" w:space="0" w:color="auto"/>
          </w:divBdr>
        </w:div>
        <w:div w:id="406417056">
          <w:marLeft w:val="0"/>
          <w:marRight w:val="0"/>
          <w:marTop w:val="0"/>
          <w:marBottom w:val="0"/>
          <w:divBdr>
            <w:top w:val="none" w:sz="0" w:space="0" w:color="auto"/>
            <w:left w:val="none" w:sz="0" w:space="0" w:color="auto"/>
            <w:bottom w:val="none" w:sz="0" w:space="0" w:color="auto"/>
            <w:right w:val="none" w:sz="0" w:space="0" w:color="auto"/>
          </w:divBdr>
        </w:div>
        <w:div w:id="1837568176">
          <w:marLeft w:val="0"/>
          <w:marRight w:val="0"/>
          <w:marTop w:val="0"/>
          <w:marBottom w:val="0"/>
          <w:divBdr>
            <w:top w:val="none" w:sz="0" w:space="0" w:color="auto"/>
            <w:left w:val="none" w:sz="0" w:space="0" w:color="auto"/>
            <w:bottom w:val="none" w:sz="0" w:space="0" w:color="auto"/>
            <w:right w:val="none" w:sz="0" w:space="0" w:color="auto"/>
          </w:divBdr>
        </w:div>
        <w:div w:id="1249534026">
          <w:marLeft w:val="0"/>
          <w:marRight w:val="0"/>
          <w:marTop w:val="0"/>
          <w:marBottom w:val="0"/>
          <w:divBdr>
            <w:top w:val="none" w:sz="0" w:space="0" w:color="auto"/>
            <w:left w:val="none" w:sz="0" w:space="0" w:color="auto"/>
            <w:bottom w:val="none" w:sz="0" w:space="0" w:color="auto"/>
            <w:right w:val="none" w:sz="0" w:space="0" w:color="auto"/>
          </w:divBdr>
        </w:div>
        <w:div w:id="305477764">
          <w:marLeft w:val="0"/>
          <w:marRight w:val="0"/>
          <w:marTop w:val="0"/>
          <w:marBottom w:val="0"/>
          <w:divBdr>
            <w:top w:val="none" w:sz="0" w:space="0" w:color="auto"/>
            <w:left w:val="none" w:sz="0" w:space="0" w:color="auto"/>
            <w:bottom w:val="none" w:sz="0" w:space="0" w:color="auto"/>
            <w:right w:val="none" w:sz="0" w:space="0" w:color="auto"/>
          </w:divBdr>
        </w:div>
        <w:div w:id="844513753">
          <w:marLeft w:val="0"/>
          <w:marRight w:val="0"/>
          <w:marTop w:val="0"/>
          <w:marBottom w:val="0"/>
          <w:divBdr>
            <w:top w:val="none" w:sz="0" w:space="0" w:color="auto"/>
            <w:left w:val="none" w:sz="0" w:space="0" w:color="auto"/>
            <w:bottom w:val="none" w:sz="0" w:space="0" w:color="auto"/>
            <w:right w:val="none" w:sz="0" w:space="0" w:color="auto"/>
          </w:divBdr>
        </w:div>
        <w:div w:id="980574121">
          <w:marLeft w:val="0"/>
          <w:marRight w:val="0"/>
          <w:marTop w:val="0"/>
          <w:marBottom w:val="0"/>
          <w:divBdr>
            <w:top w:val="none" w:sz="0" w:space="0" w:color="auto"/>
            <w:left w:val="none" w:sz="0" w:space="0" w:color="auto"/>
            <w:bottom w:val="none" w:sz="0" w:space="0" w:color="auto"/>
            <w:right w:val="none" w:sz="0" w:space="0" w:color="auto"/>
          </w:divBdr>
        </w:div>
        <w:div w:id="42415784">
          <w:marLeft w:val="0"/>
          <w:marRight w:val="0"/>
          <w:marTop w:val="0"/>
          <w:marBottom w:val="0"/>
          <w:divBdr>
            <w:top w:val="none" w:sz="0" w:space="0" w:color="auto"/>
            <w:left w:val="none" w:sz="0" w:space="0" w:color="auto"/>
            <w:bottom w:val="none" w:sz="0" w:space="0" w:color="auto"/>
            <w:right w:val="none" w:sz="0" w:space="0" w:color="auto"/>
          </w:divBdr>
        </w:div>
        <w:div w:id="909459805">
          <w:marLeft w:val="0"/>
          <w:marRight w:val="0"/>
          <w:marTop w:val="0"/>
          <w:marBottom w:val="0"/>
          <w:divBdr>
            <w:top w:val="none" w:sz="0" w:space="0" w:color="auto"/>
            <w:left w:val="none" w:sz="0" w:space="0" w:color="auto"/>
            <w:bottom w:val="none" w:sz="0" w:space="0" w:color="auto"/>
            <w:right w:val="none" w:sz="0" w:space="0" w:color="auto"/>
          </w:divBdr>
        </w:div>
        <w:div w:id="540362101">
          <w:marLeft w:val="0"/>
          <w:marRight w:val="0"/>
          <w:marTop w:val="0"/>
          <w:marBottom w:val="0"/>
          <w:divBdr>
            <w:top w:val="none" w:sz="0" w:space="0" w:color="auto"/>
            <w:left w:val="none" w:sz="0" w:space="0" w:color="auto"/>
            <w:bottom w:val="none" w:sz="0" w:space="0" w:color="auto"/>
            <w:right w:val="none" w:sz="0" w:space="0" w:color="auto"/>
          </w:divBdr>
        </w:div>
        <w:div w:id="1026558522">
          <w:marLeft w:val="0"/>
          <w:marRight w:val="0"/>
          <w:marTop w:val="0"/>
          <w:marBottom w:val="0"/>
          <w:divBdr>
            <w:top w:val="none" w:sz="0" w:space="0" w:color="auto"/>
            <w:left w:val="none" w:sz="0" w:space="0" w:color="auto"/>
            <w:bottom w:val="none" w:sz="0" w:space="0" w:color="auto"/>
            <w:right w:val="none" w:sz="0" w:space="0" w:color="auto"/>
          </w:divBdr>
        </w:div>
        <w:div w:id="1448620982">
          <w:marLeft w:val="0"/>
          <w:marRight w:val="0"/>
          <w:marTop w:val="0"/>
          <w:marBottom w:val="0"/>
          <w:divBdr>
            <w:top w:val="none" w:sz="0" w:space="0" w:color="auto"/>
            <w:left w:val="none" w:sz="0" w:space="0" w:color="auto"/>
            <w:bottom w:val="none" w:sz="0" w:space="0" w:color="auto"/>
            <w:right w:val="none" w:sz="0" w:space="0" w:color="auto"/>
          </w:divBdr>
        </w:div>
        <w:div w:id="1977103077">
          <w:marLeft w:val="0"/>
          <w:marRight w:val="0"/>
          <w:marTop w:val="0"/>
          <w:marBottom w:val="0"/>
          <w:divBdr>
            <w:top w:val="none" w:sz="0" w:space="0" w:color="auto"/>
            <w:left w:val="none" w:sz="0" w:space="0" w:color="auto"/>
            <w:bottom w:val="none" w:sz="0" w:space="0" w:color="auto"/>
            <w:right w:val="none" w:sz="0" w:space="0" w:color="auto"/>
          </w:divBdr>
        </w:div>
        <w:div w:id="609244171">
          <w:marLeft w:val="0"/>
          <w:marRight w:val="0"/>
          <w:marTop w:val="0"/>
          <w:marBottom w:val="0"/>
          <w:divBdr>
            <w:top w:val="none" w:sz="0" w:space="0" w:color="auto"/>
            <w:left w:val="none" w:sz="0" w:space="0" w:color="auto"/>
            <w:bottom w:val="none" w:sz="0" w:space="0" w:color="auto"/>
            <w:right w:val="none" w:sz="0" w:space="0" w:color="auto"/>
          </w:divBdr>
        </w:div>
        <w:div w:id="74018629">
          <w:marLeft w:val="0"/>
          <w:marRight w:val="0"/>
          <w:marTop w:val="0"/>
          <w:marBottom w:val="0"/>
          <w:divBdr>
            <w:top w:val="none" w:sz="0" w:space="0" w:color="auto"/>
            <w:left w:val="none" w:sz="0" w:space="0" w:color="auto"/>
            <w:bottom w:val="none" w:sz="0" w:space="0" w:color="auto"/>
            <w:right w:val="none" w:sz="0" w:space="0" w:color="auto"/>
          </w:divBdr>
        </w:div>
        <w:div w:id="1549535751">
          <w:marLeft w:val="0"/>
          <w:marRight w:val="0"/>
          <w:marTop w:val="0"/>
          <w:marBottom w:val="0"/>
          <w:divBdr>
            <w:top w:val="none" w:sz="0" w:space="0" w:color="auto"/>
            <w:left w:val="none" w:sz="0" w:space="0" w:color="auto"/>
            <w:bottom w:val="none" w:sz="0" w:space="0" w:color="auto"/>
            <w:right w:val="none" w:sz="0" w:space="0" w:color="auto"/>
          </w:divBdr>
        </w:div>
        <w:div w:id="898052601">
          <w:marLeft w:val="0"/>
          <w:marRight w:val="0"/>
          <w:marTop w:val="0"/>
          <w:marBottom w:val="0"/>
          <w:divBdr>
            <w:top w:val="none" w:sz="0" w:space="0" w:color="auto"/>
            <w:left w:val="none" w:sz="0" w:space="0" w:color="auto"/>
            <w:bottom w:val="none" w:sz="0" w:space="0" w:color="auto"/>
            <w:right w:val="none" w:sz="0" w:space="0" w:color="auto"/>
          </w:divBdr>
        </w:div>
        <w:div w:id="482163541">
          <w:marLeft w:val="0"/>
          <w:marRight w:val="0"/>
          <w:marTop w:val="0"/>
          <w:marBottom w:val="0"/>
          <w:divBdr>
            <w:top w:val="none" w:sz="0" w:space="0" w:color="auto"/>
            <w:left w:val="none" w:sz="0" w:space="0" w:color="auto"/>
            <w:bottom w:val="none" w:sz="0" w:space="0" w:color="auto"/>
            <w:right w:val="none" w:sz="0" w:space="0" w:color="auto"/>
          </w:divBdr>
        </w:div>
        <w:div w:id="1406682997">
          <w:marLeft w:val="0"/>
          <w:marRight w:val="0"/>
          <w:marTop w:val="0"/>
          <w:marBottom w:val="0"/>
          <w:divBdr>
            <w:top w:val="none" w:sz="0" w:space="0" w:color="auto"/>
            <w:left w:val="none" w:sz="0" w:space="0" w:color="auto"/>
            <w:bottom w:val="none" w:sz="0" w:space="0" w:color="auto"/>
            <w:right w:val="none" w:sz="0" w:space="0" w:color="auto"/>
          </w:divBdr>
        </w:div>
        <w:div w:id="10109039">
          <w:marLeft w:val="0"/>
          <w:marRight w:val="0"/>
          <w:marTop w:val="0"/>
          <w:marBottom w:val="0"/>
          <w:divBdr>
            <w:top w:val="none" w:sz="0" w:space="0" w:color="auto"/>
            <w:left w:val="none" w:sz="0" w:space="0" w:color="auto"/>
            <w:bottom w:val="none" w:sz="0" w:space="0" w:color="auto"/>
            <w:right w:val="none" w:sz="0" w:space="0" w:color="auto"/>
          </w:divBdr>
        </w:div>
        <w:div w:id="2052532675">
          <w:marLeft w:val="0"/>
          <w:marRight w:val="0"/>
          <w:marTop w:val="0"/>
          <w:marBottom w:val="0"/>
          <w:divBdr>
            <w:top w:val="none" w:sz="0" w:space="0" w:color="auto"/>
            <w:left w:val="none" w:sz="0" w:space="0" w:color="auto"/>
            <w:bottom w:val="none" w:sz="0" w:space="0" w:color="auto"/>
            <w:right w:val="none" w:sz="0" w:space="0" w:color="auto"/>
          </w:divBdr>
        </w:div>
        <w:div w:id="848060323">
          <w:marLeft w:val="0"/>
          <w:marRight w:val="0"/>
          <w:marTop w:val="0"/>
          <w:marBottom w:val="0"/>
          <w:divBdr>
            <w:top w:val="none" w:sz="0" w:space="0" w:color="auto"/>
            <w:left w:val="none" w:sz="0" w:space="0" w:color="auto"/>
            <w:bottom w:val="none" w:sz="0" w:space="0" w:color="auto"/>
            <w:right w:val="none" w:sz="0" w:space="0" w:color="auto"/>
          </w:divBdr>
        </w:div>
        <w:div w:id="318921835">
          <w:marLeft w:val="0"/>
          <w:marRight w:val="0"/>
          <w:marTop w:val="0"/>
          <w:marBottom w:val="0"/>
          <w:divBdr>
            <w:top w:val="none" w:sz="0" w:space="0" w:color="auto"/>
            <w:left w:val="none" w:sz="0" w:space="0" w:color="auto"/>
            <w:bottom w:val="none" w:sz="0" w:space="0" w:color="auto"/>
            <w:right w:val="none" w:sz="0" w:space="0" w:color="auto"/>
          </w:divBdr>
        </w:div>
        <w:div w:id="2084837130">
          <w:marLeft w:val="0"/>
          <w:marRight w:val="0"/>
          <w:marTop w:val="0"/>
          <w:marBottom w:val="0"/>
          <w:divBdr>
            <w:top w:val="none" w:sz="0" w:space="0" w:color="auto"/>
            <w:left w:val="none" w:sz="0" w:space="0" w:color="auto"/>
            <w:bottom w:val="none" w:sz="0" w:space="0" w:color="auto"/>
            <w:right w:val="none" w:sz="0" w:space="0" w:color="auto"/>
          </w:divBdr>
        </w:div>
        <w:div w:id="1476335317">
          <w:marLeft w:val="0"/>
          <w:marRight w:val="0"/>
          <w:marTop w:val="0"/>
          <w:marBottom w:val="0"/>
          <w:divBdr>
            <w:top w:val="none" w:sz="0" w:space="0" w:color="auto"/>
            <w:left w:val="none" w:sz="0" w:space="0" w:color="auto"/>
            <w:bottom w:val="none" w:sz="0" w:space="0" w:color="auto"/>
            <w:right w:val="none" w:sz="0" w:space="0" w:color="auto"/>
          </w:divBdr>
        </w:div>
        <w:div w:id="2080902612">
          <w:marLeft w:val="0"/>
          <w:marRight w:val="0"/>
          <w:marTop w:val="0"/>
          <w:marBottom w:val="0"/>
          <w:divBdr>
            <w:top w:val="none" w:sz="0" w:space="0" w:color="auto"/>
            <w:left w:val="none" w:sz="0" w:space="0" w:color="auto"/>
            <w:bottom w:val="none" w:sz="0" w:space="0" w:color="auto"/>
            <w:right w:val="none" w:sz="0" w:space="0" w:color="auto"/>
          </w:divBdr>
        </w:div>
        <w:div w:id="552500591">
          <w:marLeft w:val="0"/>
          <w:marRight w:val="0"/>
          <w:marTop w:val="0"/>
          <w:marBottom w:val="0"/>
          <w:divBdr>
            <w:top w:val="none" w:sz="0" w:space="0" w:color="auto"/>
            <w:left w:val="none" w:sz="0" w:space="0" w:color="auto"/>
            <w:bottom w:val="none" w:sz="0" w:space="0" w:color="auto"/>
            <w:right w:val="none" w:sz="0" w:space="0" w:color="auto"/>
          </w:divBdr>
        </w:div>
        <w:div w:id="675620482">
          <w:marLeft w:val="0"/>
          <w:marRight w:val="0"/>
          <w:marTop w:val="0"/>
          <w:marBottom w:val="0"/>
          <w:divBdr>
            <w:top w:val="none" w:sz="0" w:space="0" w:color="auto"/>
            <w:left w:val="none" w:sz="0" w:space="0" w:color="auto"/>
            <w:bottom w:val="none" w:sz="0" w:space="0" w:color="auto"/>
            <w:right w:val="none" w:sz="0" w:space="0" w:color="auto"/>
          </w:divBdr>
        </w:div>
        <w:div w:id="1848517643">
          <w:marLeft w:val="0"/>
          <w:marRight w:val="0"/>
          <w:marTop w:val="0"/>
          <w:marBottom w:val="0"/>
          <w:divBdr>
            <w:top w:val="none" w:sz="0" w:space="0" w:color="auto"/>
            <w:left w:val="none" w:sz="0" w:space="0" w:color="auto"/>
            <w:bottom w:val="none" w:sz="0" w:space="0" w:color="auto"/>
            <w:right w:val="none" w:sz="0" w:space="0" w:color="auto"/>
          </w:divBdr>
        </w:div>
        <w:div w:id="89008934">
          <w:marLeft w:val="0"/>
          <w:marRight w:val="0"/>
          <w:marTop w:val="0"/>
          <w:marBottom w:val="0"/>
          <w:divBdr>
            <w:top w:val="none" w:sz="0" w:space="0" w:color="auto"/>
            <w:left w:val="none" w:sz="0" w:space="0" w:color="auto"/>
            <w:bottom w:val="none" w:sz="0" w:space="0" w:color="auto"/>
            <w:right w:val="none" w:sz="0" w:space="0" w:color="auto"/>
          </w:divBdr>
        </w:div>
        <w:div w:id="1825656989">
          <w:marLeft w:val="0"/>
          <w:marRight w:val="0"/>
          <w:marTop w:val="0"/>
          <w:marBottom w:val="0"/>
          <w:divBdr>
            <w:top w:val="none" w:sz="0" w:space="0" w:color="auto"/>
            <w:left w:val="none" w:sz="0" w:space="0" w:color="auto"/>
            <w:bottom w:val="none" w:sz="0" w:space="0" w:color="auto"/>
            <w:right w:val="none" w:sz="0" w:space="0" w:color="auto"/>
          </w:divBdr>
        </w:div>
        <w:div w:id="750007334">
          <w:marLeft w:val="0"/>
          <w:marRight w:val="0"/>
          <w:marTop w:val="0"/>
          <w:marBottom w:val="0"/>
          <w:divBdr>
            <w:top w:val="none" w:sz="0" w:space="0" w:color="auto"/>
            <w:left w:val="none" w:sz="0" w:space="0" w:color="auto"/>
            <w:bottom w:val="none" w:sz="0" w:space="0" w:color="auto"/>
            <w:right w:val="none" w:sz="0" w:space="0" w:color="auto"/>
          </w:divBdr>
        </w:div>
        <w:div w:id="612399408">
          <w:marLeft w:val="0"/>
          <w:marRight w:val="0"/>
          <w:marTop w:val="0"/>
          <w:marBottom w:val="0"/>
          <w:divBdr>
            <w:top w:val="none" w:sz="0" w:space="0" w:color="auto"/>
            <w:left w:val="none" w:sz="0" w:space="0" w:color="auto"/>
            <w:bottom w:val="none" w:sz="0" w:space="0" w:color="auto"/>
            <w:right w:val="none" w:sz="0" w:space="0" w:color="auto"/>
          </w:divBdr>
        </w:div>
        <w:div w:id="1544370212">
          <w:marLeft w:val="0"/>
          <w:marRight w:val="0"/>
          <w:marTop w:val="0"/>
          <w:marBottom w:val="0"/>
          <w:divBdr>
            <w:top w:val="none" w:sz="0" w:space="0" w:color="auto"/>
            <w:left w:val="none" w:sz="0" w:space="0" w:color="auto"/>
            <w:bottom w:val="none" w:sz="0" w:space="0" w:color="auto"/>
            <w:right w:val="none" w:sz="0" w:space="0" w:color="auto"/>
          </w:divBdr>
        </w:div>
        <w:div w:id="1342777890">
          <w:marLeft w:val="0"/>
          <w:marRight w:val="0"/>
          <w:marTop w:val="0"/>
          <w:marBottom w:val="0"/>
          <w:divBdr>
            <w:top w:val="none" w:sz="0" w:space="0" w:color="auto"/>
            <w:left w:val="none" w:sz="0" w:space="0" w:color="auto"/>
            <w:bottom w:val="none" w:sz="0" w:space="0" w:color="auto"/>
            <w:right w:val="none" w:sz="0" w:space="0" w:color="auto"/>
          </w:divBdr>
        </w:div>
        <w:div w:id="187988366">
          <w:marLeft w:val="0"/>
          <w:marRight w:val="0"/>
          <w:marTop w:val="0"/>
          <w:marBottom w:val="0"/>
          <w:divBdr>
            <w:top w:val="none" w:sz="0" w:space="0" w:color="auto"/>
            <w:left w:val="none" w:sz="0" w:space="0" w:color="auto"/>
            <w:bottom w:val="none" w:sz="0" w:space="0" w:color="auto"/>
            <w:right w:val="none" w:sz="0" w:space="0" w:color="auto"/>
          </w:divBdr>
        </w:div>
        <w:div w:id="1648584692">
          <w:marLeft w:val="0"/>
          <w:marRight w:val="0"/>
          <w:marTop w:val="0"/>
          <w:marBottom w:val="0"/>
          <w:divBdr>
            <w:top w:val="none" w:sz="0" w:space="0" w:color="auto"/>
            <w:left w:val="none" w:sz="0" w:space="0" w:color="auto"/>
            <w:bottom w:val="none" w:sz="0" w:space="0" w:color="auto"/>
            <w:right w:val="none" w:sz="0" w:space="0" w:color="auto"/>
          </w:divBdr>
        </w:div>
        <w:div w:id="835151563">
          <w:marLeft w:val="0"/>
          <w:marRight w:val="0"/>
          <w:marTop w:val="0"/>
          <w:marBottom w:val="0"/>
          <w:divBdr>
            <w:top w:val="none" w:sz="0" w:space="0" w:color="auto"/>
            <w:left w:val="none" w:sz="0" w:space="0" w:color="auto"/>
            <w:bottom w:val="none" w:sz="0" w:space="0" w:color="auto"/>
            <w:right w:val="none" w:sz="0" w:space="0" w:color="auto"/>
          </w:divBdr>
        </w:div>
        <w:div w:id="1931888292">
          <w:marLeft w:val="0"/>
          <w:marRight w:val="0"/>
          <w:marTop w:val="0"/>
          <w:marBottom w:val="0"/>
          <w:divBdr>
            <w:top w:val="none" w:sz="0" w:space="0" w:color="auto"/>
            <w:left w:val="none" w:sz="0" w:space="0" w:color="auto"/>
            <w:bottom w:val="none" w:sz="0" w:space="0" w:color="auto"/>
            <w:right w:val="none" w:sz="0" w:space="0" w:color="auto"/>
          </w:divBdr>
        </w:div>
        <w:div w:id="274485566">
          <w:marLeft w:val="0"/>
          <w:marRight w:val="0"/>
          <w:marTop w:val="0"/>
          <w:marBottom w:val="0"/>
          <w:divBdr>
            <w:top w:val="none" w:sz="0" w:space="0" w:color="auto"/>
            <w:left w:val="none" w:sz="0" w:space="0" w:color="auto"/>
            <w:bottom w:val="none" w:sz="0" w:space="0" w:color="auto"/>
            <w:right w:val="none" w:sz="0" w:space="0" w:color="auto"/>
          </w:divBdr>
        </w:div>
        <w:div w:id="1655451062">
          <w:marLeft w:val="0"/>
          <w:marRight w:val="0"/>
          <w:marTop w:val="0"/>
          <w:marBottom w:val="0"/>
          <w:divBdr>
            <w:top w:val="none" w:sz="0" w:space="0" w:color="auto"/>
            <w:left w:val="none" w:sz="0" w:space="0" w:color="auto"/>
            <w:bottom w:val="none" w:sz="0" w:space="0" w:color="auto"/>
            <w:right w:val="none" w:sz="0" w:space="0" w:color="auto"/>
          </w:divBdr>
        </w:div>
      </w:divsChild>
    </w:div>
    <w:div w:id="1457719031">
      <w:marLeft w:val="0"/>
      <w:marRight w:val="0"/>
      <w:marTop w:val="0"/>
      <w:marBottom w:val="0"/>
      <w:divBdr>
        <w:top w:val="none" w:sz="0" w:space="0" w:color="auto"/>
        <w:left w:val="none" w:sz="0" w:space="0" w:color="auto"/>
        <w:bottom w:val="none" w:sz="0" w:space="0" w:color="auto"/>
        <w:right w:val="none" w:sz="0" w:space="0" w:color="auto"/>
      </w:divBdr>
    </w:div>
    <w:div w:id="1549680286">
      <w:marLeft w:val="0"/>
      <w:marRight w:val="0"/>
      <w:marTop w:val="0"/>
      <w:marBottom w:val="0"/>
      <w:divBdr>
        <w:top w:val="none" w:sz="0" w:space="0" w:color="auto"/>
        <w:left w:val="none" w:sz="0" w:space="0" w:color="auto"/>
        <w:bottom w:val="none" w:sz="0" w:space="0" w:color="auto"/>
        <w:right w:val="none" w:sz="0" w:space="0" w:color="auto"/>
      </w:divBdr>
    </w:div>
    <w:div w:id="1700860551">
      <w:marLeft w:val="0"/>
      <w:marRight w:val="0"/>
      <w:marTop w:val="0"/>
      <w:marBottom w:val="0"/>
      <w:divBdr>
        <w:top w:val="none" w:sz="0" w:space="0" w:color="auto"/>
        <w:left w:val="none" w:sz="0" w:space="0" w:color="auto"/>
        <w:bottom w:val="none" w:sz="0" w:space="0" w:color="auto"/>
        <w:right w:val="none" w:sz="0" w:space="0" w:color="auto"/>
      </w:divBdr>
    </w:div>
    <w:div w:id="1810511477">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www.dane.gov.co/" TargetMode="External"/><Relationship Id="rId47" Type="http://schemas.openxmlformats.org/officeDocument/2006/relationships/hyperlink" Target="http://www.icontec.org.co/" TargetMode="External"/><Relationship Id="rId63" Type="http://schemas.openxmlformats.org/officeDocument/2006/relationships/image" Target="media/image27.png"/><Relationship Id="rId6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hyperlink" Target="http://www.acic.org.co/" TargetMode="Externa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hyperlink" Target="http://www.agrecon.com.co/" TargetMode="External"/><Relationship Id="rId37" Type="http://schemas.openxmlformats.org/officeDocument/2006/relationships/hyperlink" Target="http://www.camacolantioguia.org.co/" TargetMode="External"/><Relationship Id="rId40" Type="http://schemas.openxmlformats.org/officeDocument/2006/relationships/hyperlink" Target="http://www.accioncomunal.gov.co/" TargetMode="External"/><Relationship Id="rId45" Type="http://schemas.openxmlformats.org/officeDocument/2006/relationships/hyperlink" Target="http://www.fedevivienda.org.co/" TargetMode="External"/><Relationship Id="rId53" Type="http://schemas.openxmlformats.org/officeDocument/2006/relationships/hyperlink" Target="http://www.metrovivienda.gov.co/" TargetMode="External"/><Relationship Id="rId58" Type="http://schemas.openxmlformats.org/officeDocument/2006/relationships/image" Target="media/image22.png"/><Relationship Id="rId66" Type="http://schemas.openxmlformats.org/officeDocument/2006/relationships/image" Target="media/image30.png"/><Relationship Id="rId74" Type="http://schemas.openxmlformats.org/officeDocument/2006/relationships/image" Target="media/image37.jpg"/><Relationship Id="rId5" Type="http://schemas.openxmlformats.org/officeDocument/2006/relationships/footnotes" Target="footnotes.xml"/><Relationship Id="rId61" Type="http://schemas.openxmlformats.org/officeDocument/2006/relationships/image" Target="media/image25.png"/><Relationship Id="rId19" Type="http://schemas.openxmlformats.org/officeDocument/2006/relationships/image" Target="media/image11.png"/><Relationship Id="rId14" Type="http://schemas.openxmlformats.org/officeDocument/2006/relationships/hyperlink" Target="https://www.elcolombiano.com/negocios/cuanto-crecio-la-economia-de-colombia-en-2024-EA26622655" TargetMode="Externa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acipet.com/" TargetMode="External"/><Relationship Id="rId35" Type="http://schemas.openxmlformats.org/officeDocument/2006/relationships/hyperlink" Target="http://www.asobancaria.com/" TargetMode="External"/><Relationship Id="rId43" Type="http://schemas.openxmlformats.org/officeDocument/2006/relationships/hyperlink" Target="http://www.dnp.gov.co/" TargetMode="External"/><Relationship Id="rId48" Type="http://schemas.openxmlformats.org/officeDocument/2006/relationships/hyperlink" Target="http://www.icpc.org.co/" TargetMode="External"/><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3.png"/><Relationship Id="rId8" Type="http://schemas.openxmlformats.org/officeDocument/2006/relationships/image" Target="media/image2.png"/><Relationship Id="rId51" Type="http://schemas.openxmlformats.org/officeDocument/2006/relationships/hyperlink" Target="http://www.invias.gov.co/" TargetMode="External"/><Relationship Id="rId72" Type="http://schemas.openxmlformats.org/officeDocument/2006/relationships/image" Target="media/image3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andi.com.co/" TargetMode="External"/><Relationship Id="rId38" Type="http://schemas.openxmlformats.org/officeDocument/2006/relationships/hyperlink" Target="http://www.colombit.com.co/" TargetMode="External"/><Relationship Id="rId46" Type="http://schemas.openxmlformats.org/officeDocument/2006/relationships/hyperlink" Target="http://www.icav.com/" TargetMode="External"/><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image" Target="media/image12.png"/><Relationship Id="rId41" Type="http://schemas.openxmlformats.org/officeDocument/2006/relationships/hyperlink" Target="http://www.dama.gov.co/" TargetMode="External"/><Relationship Id="rId54" Type="http://schemas.openxmlformats.org/officeDocument/2006/relationships/hyperlink" Target="http://www.arguitecturacolombiana.com/" TargetMode="External"/><Relationship Id="rId62" Type="http://schemas.openxmlformats.org/officeDocument/2006/relationships/image" Target="media/image26.png"/><Relationship Id="rId70" Type="http://schemas.openxmlformats.org/officeDocument/2006/relationships/header" Target="header1.xm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www.acaire.com/" TargetMode="External"/><Relationship Id="rId36" Type="http://schemas.openxmlformats.org/officeDocument/2006/relationships/hyperlink" Target="http://www.asocreto.org.co/" TargetMode="External"/><Relationship Id="rId49" Type="http://schemas.openxmlformats.org/officeDocument/2006/relationships/hyperlink" Target="http://www.idu.gov.co/" TargetMode="External"/><Relationship Id="rId57" Type="http://schemas.openxmlformats.org/officeDocument/2006/relationships/image" Target="media/image21.png"/><Relationship Id="rId10" Type="http://schemas.openxmlformats.org/officeDocument/2006/relationships/image" Target="media/image4.png"/><Relationship Id="rId31" Type="http://schemas.openxmlformats.org/officeDocument/2006/relationships/hyperlink" Target="http://www.acofi.edu.co/" TargetMode="External"/><Relationship Id="rId44" Type="http://schemas.openxmlformats.org/officeDocument/2006/relationships/hyperlink" Target="http://www.favidv.co.com/" TargetMode="External"/><Relationship Id="rId52" Type="http://schemas.openxmlformats.org/officeDocument/2006/relationships/hyperlink" Target="http://www.lasalle.edu.co/" TargetMode="External"/><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6.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www.bluradio.com/economia/carf-pide-ajuste-de-46-billones-en-2025-para-regla-fiscal-en-2024-no-se-cumplio-del-todo-so35" TargetMode="External"/><Relationship Id="rId18" Type="http://schemas.openxmlformats.org/officeDocument/2006/relationships/image" Target="media/image10.png"/><Relationship Id="rId39" Type="http://schemas.openxmlformats.org/officeDocument/2006/relationships/hyperlink" Target="http://www.accioncomunal.gov.co/" TargetMode="External"/><Relationship Id="rId34" Type="http://schemas.openxmlformats.org/officeDocument/2006/relationships/hyperlink" Target="http://www.aneic.orq/" TargetMode="External"/><Relationship Id="rId50" Type="http://schemas.openxmlformats.org/officeDocument/2006/relationships/hyperlink" Target="http://www.igac.gov.co/" TargetMode="External"/><Relationship Id="rId55" Type="http://schemas.openxmlformats.org/officeDocument/2006/relationships/hyperlink" Target="http://www.sci.org.co/" TargetMode="External"/><Relationship Id="rId7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465</TotalTime>
  <Pages>65</Pages>
  <Words>17602</Words>
  <Characters>96816</Characters>
  <Application>Microsoft Office Word</Application>
  <DocSecurity>0</DocSecurity>
  <Lines>806</Lines>
  <Paragraphs>228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BONILLA</dc:creator>
  <cp:lastModifiedBy>LEONARDO BONILLA</cp:lastModifiedBy>
  <cp:revision>38</cp:revision>
  <dcterms:created xsi:type="dcterms:W3CDTF">2025-07-17T16:01:00Z</dcterms:created>
  <dcterms:modified xsi:type="dcterms:W3CDTF">2025-07-21T11:55:00Z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2025-01-17T15:50:31Z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8f96502f-b0c9-4ee3-96b2-415ddba9c941</vt:lpwstr>
  </property>
  <property fmtid="{D5CDD505-2E9C-101B-9397-08002B2CF9AE}" pid="8" name="MSIP_Label_fc111285-cafa-4fc9-8a9a-bd902089b24f_ContentBits">
    <vt:lpwstr>0</vt:lpwstr>
  </property>
</Properties>
</file>